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W w:w="0" w:type="auto"/>
        <w:jc w:val="center"/>
        <w:tblBorders>
          <w:top w:val="none" w:color="FFFFFF" w:sz="0" w:space="0"/>
          <w:left w:val="none" w:color="FFFFFF" w:sz="0" w:space="0"/>
          <w:bottom w:val="none" w:color="FFFFFF" w:sz="0" w:space="0"/>
          <w:right w:val="none" w:color="FFFFFF" w:sz="0" w:space="0"/>
          <w:insideH w:val="none" w:color="FFFFFF" w:sz="0" w:space="0"/>
          <w:insideV w:val="none" w:color="FFFFFF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08"/>
        <w:gridCol w:w="2304"/>
      </w:tblGrid>
      <w:tr w14:paraId="1BF6DC59">
        <w:tblPrEx>
          <w:tblBorders>
            <w:top w:val="none" w:color="FFFFFF" w:sz="0" w:space="0"/>
            <w:left w:val="none" w:color="FFFFFF" w:sz="0" w:space="0"/>
            <w:bottom w:val="none" w:color="FFFFFF" w:sz="0" w:space="0"/>
            <w:right w:val="none" w:color="FFFFFF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56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732454F5">
            <w:pPr>
              <w:pStyle w:val="165"/>
              <w:spacing w:after="20"/>
              <w:rPr>
                <w:rFonts w:hint="default" w:ascii="Cambria" w:hAnsi="Cambria" w:cs="Cambria"/>
                <w:sz w:val="48"/>
                <w:szCs w:val="24"/>
              </w:rPr>
            </w:pPr>
            <w:r>
              <w:rPr>
                <w:rFonts w:hint="default" w:ascii="Cambria" w:hAnsi="Cambria" w:cs="Cambria"/>
                <w:b/>
                <w:color w:val="192D42"/>
                <w:sz w:val="48"/>
                <w:szCs w:val="24"/>
              </w:rPr>
              <w:t>DR YONG KUAN YEW</w:t>
            </w:r>
          </w:p>
          <w:p w14:paraId="0D552473">
            <w:pPr>
              <w:spacing w:after="80"/>
              <w:rPr>
                <w:rFonts w:hint="default" w:ascii="Cambria" w:hAnsi="Cambria" w:cs="Cambria"/>
                <w:sz w:val="20"/>
                <w:szCs w:val="24"/>
              </w:rPr>
            </w:pPr>
            <w:r>
              <w:rPr>
                <w:rFonts w:hint="default" w:ascii="Cambria" w:hAnsi="Cambria" w:cs="Cambria"/>
                <w:b/>
                <w:color w:val="2B5D84"/>
                <w:sz w:val="22"/>
                <w:szCs w:val="24"/>
                <w:lang w:val="en-MY"/>
              </w:rPr>
              <w:t>Doctor</w:t>
            </w:r>
            <w:r>
              <w:rPr>
                <w:rFonts w:hint="default" w:ascii="Cambria" w:hAnsi="Cambria" w:cs="Cambria"/>
                <w:b/>
                <w:color w:val="2B5D84"/>
                <w:sz w:val="22"/>
                <w:szCs w:val="24"/>
              </w:rPr>
              <w:t xml:space="preserve"> · Executive </w:t>
            </w:r>
            <w:r>
              <w:rPr>
                <w:rFonts w:hint="default" w:ascii="Cambria" w:hAnsi="Cambria" w:cs="Cambria"/>
                <w:b/>
                <w:color w:val="2B5D84"/>
                <w:sz w:val="22"/>
                <w:szCs w:val="24"/>
                <w:lang w:val="en-MY"/>
              </w:rPr>
              <w:t>Physician</w:t>
            </w:r>
            <w:r>
              <w:rPr>
                <w:rFonts w:hint="default" w:ascii="Cambria" w:hAnsi="Cambria" w:cs="Cambria"/>
                <w:b/>
                <w:color w:val="2B5D84"/>
                <w:sz w:val="22"/>
                <w:szCs w:val="24"/>
              </w:rPr>
              <w:t xml:space="preserve"> · Founder · Keynote &amp; Panel Speaker</w:t>
            </w:r>
          </w:p>
          <w:p w14:paraId="6DCE3662">
            <w:pPr>
              <w:spacing w:after="60"/>
              <w:rPr>
                <w:rFonts w:hint="default" w:ascii="Cambria" w:hAnsi="Cambria" w:cs="Cambria"/>
                <w:sz w:val="20"/>
                <w:szCs w:val="24"/>
              </w:rPr>
            </w:pPr>
            <w:r>
              <w:rPr>
                <w:rFonts w:hint="default" w:ascii="Cambria" w:hAnsi="Cambria" w:cs="Cambria"/>
                <w:i/>
                <w:color w:val="262626"/>
                <w:sz w:val="20"/>
                <w:szCs w:val="24"/>
              </w:rPr>
              <w:t>Medicine, human performance and whole-person health — made clear, practical and relevant.</w:t>
            </w:r>
          </w:p>
          <w:p w14:paraId="495CAAA4">
            <w:pPr>
              <w:spacing w:after="0"/>
              <w:rPr>
                <w:rFonts w:hint="default" w:ascii="Cambria" w:hAnsi="Cambria" w:cs="Cambria"/>
                <w:sz w:val="20"/>
                <w:szCs w:val="24"/>
              </w:rPr>
            </w:pPr>
            <w:r>
              <w:rPr>
                <w:rFonts w:hint="default" w:ascii="Cambria" w:hAnsi="Cambria" w:cs="Cambria"/>
                <w:color w:val="5A5A5A"/>
                <w:sz w:val="18"/>
                <w:szCs w:val="24"/>
              </w:rPr>
              <w:t>Singapore  |  +65 9324 8348  |  dr_yky@outlook.com  |  linkedin.com/in/kuan-yew-yong</w:t>
            </w:r>
          </w:p>
        </w:tc>
        <w:tc>
          <w:tcPr>
            <w:tcW w:w="525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FCBC0E">
            <w:pPr>
              <w:jc w:val="right"/>
              <w:rPr>
                <w:rFonts w:hint="default" w:ascii="Cambria" w:hAnsi="Cambria" w:cs="Cambria"/>
                <w:sz w:val="20"/>
                <w:szCs w:val="24"/>
              </w:rPr>
            </w:pPr>
            <w:r>
              <w:rPr>
                <w:rFonts w:hint="default" w:ascii="Cambria" w:hAnsi="Cambria" w:cs="Cambria"/>
                <w:sz w:val="20"/>
                <w:szCs w:val="24"/>
              </w:rPr>
              <w:drawing>
                <wp:inline distT="0" distB="0" distL="114300" distR="114300">
                  <wp:extent cx="1225550" cy="1237615"/>
                  <wp:effectExtent l="0" t="0" r="6350" b="698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13032" r="6125" b="238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5550" cy="1237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71DDE3">
      <w:pPr>
        <w:pStyle w:val="167"/>
        <w:keepNext/>
        <w:pBdr>
          <w:bottom w:val="single" w:color="B9C7D1" w:sz="6" w:space="1"/>
        </w:pBdr>
        <w:spacing w:before="100" w:after="80"/>
        <w:rPr>
          <w:rFonts w:hint="default" w:ascii="Cambria" w:hAnsi="Cambria" w:cs="Cambria"/>
          <w:sz w:val="24"/>
          <w:szCs w:val="24"/>
          <w:lang w:val="en-MY"/>
        </w:rPr>
      </w:pPr>
      <w:r>
        <w:rPr>
          <w:rFonts w:hint="default" w:ascii="Cambria" w:hAnsi="Cambria" w:cs="Cambria"/>
          <w:b/>
          <w:color w:val="192D42"/>
          <w:sz w:val="24"/>
          <w:szCs w:val="24"/>
        </w:rPr>
        <w:t>SPEAKER PROFILE</w:t>
      </w:r>
    </w:p>
    <w:p w14:paraId="02F1C872">
      <w:pPr>
        <w:spacing w:after="80" w:line="254" w:lineRule="auto"/>
        <w:rPr>
          <w:rFonts w:hint="default" w:ascii="Cambria" w:hAnsi="Cambria" w:cs="Cambria"/>
          <w:sz w:val="20"/>
          <w:szCs w:val="24"/>
          <w:lang w:val="en-MY"/>
        </w:rPr>
      </w:pPr>
      <w:r>
        <w:rPr>
          <w:rFonts w:hint="default" w:ascii="Cambria" w:hAnsi="Cambria" w:cs="Cambria"/>
          <w:color w:val="262626"/>
          <w:sz w:val="20"/>
          <w:szCs w:val="24"/>
        </w:rPr>
        <w:t>Dr KY Yong is a</w:t>
      </w:r>
      <w:r>
        <w:rPr>
          <w:rFonts w:hint="default" w:ascii="Cambria" w:hAnsi="Cambria" w:cs="Cambria"/>
          <w:color w:val="262626"/>
          <w:sz w:val="20"/>
          <w:szCs w:val="24"/>
          <w:lang w:val="en-MY"/>
        </w:rPr>
        <w:t>n</w:t>
      </w:r>
      <w:r>
        <w:rPr>
          <w:rFonts w:hint="default" w:ascii="Cambria" w:hAnsi="Cambria" w:cs="Cambria"/>
          <w:color w:val="262626"/>
          <w:sz w:val="20"/>
          <w:szCs w:val="24"/>
        </w:rPr>
        <w:t xml:space="preserve"> executive medical decision-maker</w:t>
      </w:r>
      <w:r>
        <w:rPr>
          <w:rFonts w:hint="default" w:ascii="Cambria" w:hAnsi="Cambria" w:cs="Cambria"/>
          <w:color w:val="262626"/>
          <w:sz w:val="20"/>
          <w:szCs w:val="24"/>
          <w:lang w:val="en-MY"/>
        </w:rPr>
        <w:t>, clinician</w:t>
      </w:r>
      <w:r>
        <w:rPr>
          <w:rFonts w:hint="default" w:ascii="Cambria" w:hAnsi="Cambria" w:cs="Cambria"/>
          <w:color w:val="262626"/>
          <w:sz w:val="20"/>
          <w:szCs w:val="24"/>
        </w:rPr>
        <w:t xml:space="preserve"> and founder with more than 15 years</w:t>
      </w:r>
      <w:r>
        <w:rPr>
          <w:rFonts w:hint="default" w:ascii="Cambria" w:hAnsi="Cambria" w:cs="Cambria"/>
          <w:color w:val="262626"/>
          <w:sz w:val="20"/>
          <w:szCs w:val="24"/>
          <w:lang w:val="en-MY"/>
        </w:rPr>
        <w:t xml:space="preserve"> spanning primary care, </w:t>
      </w:r>
      <w:r>
        <w:rPr>
          <w:rFonts w:hint="default" w:ascii="Cambria" w:hAnsi="Cambria" w:cs="Cambria"/>
          <w:color w:val="262626"/>
          <w:sz w:val="20"/>
          <w:szCs w:val="24"/>
        </w:rPr>
        <w:t xml:space="preserve">acute medicine, geriatrics, </w:t>
      </w:r>
      <w:r>
        <w:rPr>
          <w:rFonts w:hint="default" w:ascii="Cambria" w:hAnsi="Cambria" w:cs="Cambria"/>
          <w:color w:val="262626"/>
          <w:sz w:val="20"/>
          <w:szCs w:val="24"/>
          <w:lang w:val="en-MY"/>
        </w:rPr>
        <w:t>neuro-</w:t>
      </w:r>
      <w:r>
        <w:rPr>
          <w:rFonts w:hint="default" w:ascii="Cambria" w:hAnsi="Cambria" w:cs="Cambria"/>
          <w:color w:val="262626"/>
          <w:sz w:val="20"/>
          <w:szCs w:val="24"/>
        </w:rPr>
        <w:t>rehabilitation, and international health</w:t>
      </w:r>
      <w:r>
        <w:rPr>
          <w:rFonts w:hint="default" w:ascii="Cambria" w:hAnsi="Cambria" w:cs="Cambria"/>
          <w:color w:val="262626"/>
          <w:sz w:val="20"/>
          <w:szCs w:val="24"/>
          <w:lang w:val="en-MY"/>
        </w:rPr>
        <w:t>care management</w:t>
      </w:r>
      <w:r>
        <w:rPr>
          <w:rFonts w:hint="default" w:ascii="Cambria" w:hAnsi="Cambria" w:cs="Cambria"/>
          <w:color w:val="262626"/>
          <w:sz w:val="20"/>
          <w:szCs w:val="24"/>
        </w:rPr>
        <w:t xml:space="preserve"> </w:t>
      </w:r>
      <w:r>
        <w:rPr>
          <w:rFonts w:hint="default" w:ascii="Cambria" w:hAnsi="Cambria" w:cs="Cambria"/>
          <w:color w:val="262626"/>
          <w:sz w:val="20"/>
          <w:szCs w:val="24"/>
        </w:rPr>
        <w:br w:type="textWrapping"/>
      </w:r>
      <w:r>
        <w:rPr>
          <w:rFonts w:hint="default" w:ascii="Cambria" w:hAnsi="Cambria" w:cs="Cambria"/>
          <w:color w:val="262626"/>
          <w:sz w:val="20"/>
          <w:szCs w:val="24"/>
        </w:rPr>
        <w:br w:type="textWrapping"/>
      </w:r>
      <w:r>
        <w:rPr>
          <w:rFonts w:hint="default" w:ascii="Cambria" w:hAnsi="Cambria" w:cs="Cambria"/>
          <w:color w:val="262626"/>
          <w:sz w:val="20"/>
          <w:szCs w:val="24"/>
          <w:lang w:val="en-MY"/>
        </w:rPr>
        <w:t xml:space="preserve">At </w:t>
      </w:r>
      <w:r>
        <w:rPr>
          <w:rFonts w:hint="default" w:ascii="Cambria" w:hAnsi="Cambria" w:cs="Cambria"/>
          <w:color w:val="262626"/>
          <w:sz w:val="20"/>
          <w:szCs w:val="24"/>
        </w:rPr>
        <w:t xml:space="preserve">Allianz Partners, he </w:t>
      </w:r>
      <w:r>
        <w:rPr>
          <w:rFonts w:hint="default" w:ascii="Cambria" w:hAnsi="Cambria" w:cs="Cambria"/>
          <w:color w:val="262626"/>
          <w:sz w:val="20"/>
          <w:szCs w:val="24"/>
          <w:lang w:val="en-MY"/>
        </w:rPr>
        <w:t>navigates high stakes global medical escalations- t</w:t>
      </w:r>
      <w:r>
        <w:rPr>
          <w:rFonts w:hint="default" w:ascii="Cambria" w:hAnsi="Cambria" w:cs="Cambria"/>
          <w:color w:val="262626"/>
          <w:sz w:val="20"/>
          <w:szCs w:val="24"/>
        </w:rPr>
        <w:t>ranslat</w:t>
      </w:r>
      <w:r>
        <w:rPr>
          <w:rFonts w:hint="default" w:ascii="Cambria" w:hAnsi="Cambria" w:cs="Cambria"/>
          <w:color w:val="262626"/>
          <w:sz w:val="20"/>
          <w:szCs w:val="24"/>
          <w:lang w:val="en-MY"/>
        </w:rPr>
        <w:t>ing complex clinical data</w:t>
      </w:r>
      <w:r>
        <w:rPr>
          <w:rFonts w:hint="default" w:ascii="Cambria" w:hAnsi="Cambria" w:cs="Cambria"/>
          <w:color w:val="262626"/>
          <w:sz w:val="20"/>
          <w:szCs w:val="24"/>
        </w:rPr>
        <w:t xml:space="preserve"> into </w:t>
      </w:r>
      <w:r>
        <w:rPr>
          <w:rFonts w:hint="default" w:ascii="Cambria" w:hAnsi="Cambria" w:cs="Cambria"/>
          <w:color w:val="262626"/>
          <w:sz w:val="20"/>
          <w:szCs w:val="24"/>
          <w:lang w:val="en-MY"/>
        </w:rPr>
        <w:t>decisive operational and financial strategy for corporate clients.</w:t>
      </w:r>
      <w:r>
        <w:rPr>
          <w:rFonts w:hint="default" w:ascii="Cambria" w:hAnsi="Cambria" w:cs="Cambria"/>
          <w:color w:val="262626"/>
          <w:sz w:val="20"/>
          <w:szCs w:val="24"/>
          <w:lang w:val="en-MY"/>
        </w:rPr>
        <w:br w:type="textWrapping"/>
      </w:r>
      <w:r>
        <w:rPr>
          <w:rFonts w:hint="default" w:ascii="Cambria" w:hAnsi="Cambria" w:cs="Cambria"/>
          <w:color w:val="262626"/>
          <w:sz w:val="20"/>
          <w:szCs w:val="24"/>
          <w:lang w:val="en-MY"/>
        </w:rPr>
        <w:t xml:space="preserve"> </w:t>
      </w:r>
      <w:r>
        <w:rPr>
          <w:rFonts w:hint="default" w:ascii="Cambria" w:hAnsi="Cambria" w:cs="Cambria"/>
          <w:color w:val="262626"/>
          <w:sz w:val="20"/>
          <w:szCs w:val="24"/>
          <w:lang w:val="en-MY"/>
        </w:rPr>
        <w:br w:type="textWrapping"/>
      </w:r>
      <w:r>
        <w:rPr>
          <w:rFonts w:hint="default" w:ascii="Cambria" w:hAnsi="Cambria" w:cs="Cambria"/>
          <w:color w:val="262626"/>
          <w:sz w:val="20"/>
          <w:szCs w:val="24"/>
          <w:lang w:val="en-MY"/>
        </w:rPr>
        <w:t xml:space="preserve">As the founder of </w:t>
      </w:r>
      <w:r>
        <w:rPr>
          <w:rFonts w:hint="default" w:ascii="Cambria" w:hAnsi="Cambria" w:cs="Cambria"/>
          <w:color w:val="262626"/>
          <w:sz w:val="20"/>
          <w:szCs w:val="24"/>
        </w:rPr>
        <w:t xml:space="preserve">Holistic Human, he </w:t>
      </w:r>
      <w:r>
        <w:rPr>
          <w:rFonts w:hint="default" w:ascii="Cambria" w:hAnsi="Cambria" w:cs="Cambria"/>
          <w:color w:val="262626"/>
          <w:sz w:val="20"/>
          <w:szCs w:val="24"/>
          <w:lang w:val="en-MY"/>
        </w:rPr>
        <w:t xml:space="preserve">bridges the gap between clinical medicine and human performance, synthesizing the interplay of the </w:t>
      </w:r>
      <w:r>
        <w:rPr>
          <w:rFonts w:hint="default" w:ascii="Cambria" w:hAnsi="Cambria" w:cs="Cambria"/>
          <w:color w:val="262626"/>
          <w:sz w:val="20"/>
          <w:szCs w:val="24"/>
        </w:rPr>
        <w:t>brain, nervous system, hormones, stress and</w:t>
      </w:r>
      <w:r>
        <w:rPr>
          <w:rFonts w:hint="default" w:ascii="Cambria" w:hAnsi="Cambria" w:cs="Cambria"/>
          <w:color w:val="262626"/>
          <w:sz w:val="20"/>
          <w:szCs w:val="24"/>
          <w:lang w:val="en-MY"/>
        </w:rPr>
        <w:t xml:space="preserve"> longevity</w:t>
      </w:r>
      <w:r>
        <w:rPr>
          <w:rFonts w:hint="default" w:ascii="Cambria" w:hAnsi="Cambria" w:cs="Cambria"/>
          <w:color w:val="262626"/>
          <w:sz w:val="20"/>
          <w:szCs w:val="24"/>
        </w:rPr>
        <w:br w:type="textWrapping"/>
      </w:r>
      <w:r>
        <w:rPr>
          <w:rFonts w:hint="default" w:ascii="Cambria" w:hAnsi="Cambria" w:cs="Cambria"/>
          <w:color w:val="262626"/>
          <w:sz w:val="20"/>
          <w:szCs w:val="24"/>
        </w:rPr>
        <w:br w:type="textWrapping"/>
      </w:r>
      <w:r>
        <w:rPr>
          <w:rFonts w:hint="default" w:ascii="Cambria" w:hAnsi="Cambria" w:cs="Cambria"/>
          <w:color w:val="262626"/>
          <w:sz w:val="20"/>
          <w:szCs w:val="24"/>
          <w:lang w:val="en-MY"/>
        </w:rPr>
        <w:t xml:space="preserve">On stage, Dr yong </w:t>
      </w:r>
      <w:r>
        <w:rPr>
          <w:rFonts w:hint="default" w:ascii="Cambria" w:hAnsi="Cambria" w:cs="Cambria"/>
          <w:color w:val="262626"/>
          <w:sz w:val="20"/>
          <w:szCs w:val="24"/>
        </w:rPr>
        <w:t xml:space="preserve">combines </w:t>
      </w:r>
      <w:r>
        <w:rPr>
          <w:rFonts w:hint="default" w:ascii="Cambria" w:hAnsi="Cambria" w:cs="Cambria"/>
          <w:color w:val="262626"/>
          <w:sz w:val="20"/>
          <w:szCs w:val="24"/>
          <w:lang w:val="en-MY"/>
        </w:rPr>
        <w:t xml:space="preserve">clinical </w:t>
      </w:r>
      <w:r>
        <w:rPr>
          <w:rFonts w:hint="default" w:ascii="Cambria" w:hAnsi="Cambria" w:cs="Cambria"/>
          <w:color w:val="262626"/>
          <w:sz w:val="20"/>
          <w:szCs w:val="24"/>
        </w:rPr>
        <w:t xml:space="preserve">rigour, </w:t>
      </w:r>
      <w:r>
        <w:rPr>
          <w:rFonts w:hint="default" w:ascii="Cambria" w:hAnsi="Cambria" w:cs="Cambria"/>
          <w:color w:val="262626"/>
          <w:sz w:val="20"/>
          <w:szCs w:val="24"/>
          <w:lang w:val="en-MY"/>
        </w:rPr>
        <w:t xml:space="preserve">storytelling </w:t>
      </w:r>
      <w:r>
        <w:rPr>
          <w:rFonts w:hint="default" w:ascii="Cambria" w:hAnsi="Cambria" w:cs="Cambria"/>
          <w:color w:val="262626"/>
          <w:sz w:val="20"/>
          <w:szCs w:val="24"/>
        </w:rPr>
        <w:t xml:space="preserve">and practical frameworks </w:t>
      </w:r>
      <w:r>
        <w:rPr>
          <w:rFonts w:hint="default" w:ascii="Cambria" w:hAnsi="Cambria" w:cs="Cambria"/>
          <w:color w:val="262626"/>
          <w:sz w:val="20"/>
          <w:szCs w:val="24"/>
          <w:lang w:val="en-MY"/>
        </w:rPr>
        <w:t xml:space="preserve">to deconstruct complex health topics into actionable insights for corporate leaders, healthcare professionals and global </w:t>
      </w:r>
      <w:r>
        <w:rPr>
          <w:rFonts w:hint="default" w:ascii="Cambria" w:hAnsi="Cambria" w:cs="Cambria"/>
          <w:color w:val="262626"/>
          <w:sz w:val="20"/>
          <w:szCs w:val="24"/>
        </w:rPr>
        <w:t>audiences</w:t>
      </w:r>
      <w:r>
        <w:rPr>
          <w:rFonts w:hint="default" w:ascii="Cambria" w:hAnsi="Cambria" w:cs="Cambria"/>
          <w:color w:val="262626"/>
          <w:sz w:val="20"/>
          <w:szCs w:val="24"/>
          <w:lang w:val="en-MY"/>
        </w:rPr>
        <w:t>.</w:t>
      </w:r>
      <w:r>
        <w:rPr>
          <w:rFonts w:hint="default" w:ascii="Cambria" w:hAnsi="Cambria" w:cs="Cambria"/>
          <w:color w:val="262626"/>
          <w:sz w:val="20"/>
          <w:szCs w:val="24"/>
          <w:lang w:val="en-MY"/>
        </w:rPr>
        <w:br w:type="textWrapping"/>
      </w:r>
    </w:p>
    <w:p w14:paraId="1AB9CB48">
      <w:pPr>
        <w:pStyle w:val="167"/>
        <w:keepNext/>
        <w:pBdr>
          <w:bottom w:val="single" w:color="B9C7D1" w:sz="6" w:space="1"/>
        </w:pBdr>
        <w:spacing w:before="100" w:after="80"/>
        <w:rPr>
          <w:rFonts w:hint="default" w:ascii="Cambria" w:hAnsi="Cambria" w:cs="Cambria"/>
          <w:sz w:val="24"/>
          <w:szCs w:val="24"/>
        </w:rPr>
      </w:pPr>
      <w:r>
        <w:rPr>
          <w:rFonts w:hint="default" w:ascii="Cambria" w:hAnsi="Cambria" w:cs="Cambria"/>
          <w:b/>
          <w:color w:val="192D42"/>
          <w:sz w:val="24"/>
          <w:szCs w:val="24"/>
        </w:rPr>
        <w:t>SIGNATURE SPEAKING THEMES</w:t>
      </w:r>
    </w:p>
    <w:tbl>
      <w:tblPr>
        <w:tblStyle w:val="12"/>
        <w:tblW w:w="0" w:type="auto"/>
        <w:jc w:val="center"/>
        <w:tblBorders>
          <w:top w:val="none" w:color="FFFFFF" w:sz="0" w:space="0"/>
          <w:left w:val="none" w:color="FFFFFF" w:sz="0" w:space="0"/>
          <w:bottom w:val="none" w:color="FFFFFF" w:sz="0" w:space="0"/>
          <w:right w:val="none" w:color="FFFFFF" w:sz="0" w:space="0"/>
          <w:insideH w:val="none" w:color="FFFFFF" w:sz="0" w:space="0"/>
          <w:insideV w:val="none" w:color="FFFFFF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12"/>
        <w:gridCol w:w="5112"/>
      </w:tblGrid>
      <w:tr w14:paraId="1B05634A">
        <w:tblPrEx>
          <w:tblBorders>
            <w:top w:val="none" w:color="FFFFFF" w:sz="0" w:space="0"/>
            <w:left w:val="none" w:color="FFFFFF" w:sz="0" w:space="0"/>
            <w:bottom w:val="none" w:color="FFFFFF" w:sz="0" w:space="0"/>
            <w:right w:val="none" w:color="FFFFFF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56" w:type="dxa"/>
            <w:shd w:val="clear" w:color="auto" w:fill="F4F7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14E9E3E">
            <w:pPr>
              <w:spacing w:after="40"/>
              <w:rPr>
                <w:rFonts w:hint="default" w:ascii="Cambria" w:hAnsi="Cambria" w:cs="Cambria"/>
                <w:sz w:val="20"/>
                <w:szCs w:val="24"/>
              </w:rPr>
            </w:pPr>
            <w:r>
              <w:rPr>
                <w:rFonts w:hint="default" w:ascii="Cambria" w:hAnsi="Cambria" w:cs="Cambria"/>
                <w:b/>
                <w:color w:val="192D42"/>
                <w:sz w:val="20"/>
                <w:szCs w:val="24"/>
              </w:rPr>
              <w:t>Executive Health &amp; Sustainable Performance</w:t>
            </w:r>
          </w:p>
          <w:p w14:paraId="1CAC1E2F">
            <w:pPr>
              <w:spacing w:after="0"/>
              <w:rPr>
                <w:rFonts w:hint="default" w:ascii="Cambria" w:hAnsi="Cambria" w:cs="Cambria"/>
                <w:sz w:val="20"/>
                <w:szCs w:val="24"/>
                <w:lang w:val="en-MY"/>
              </w:rPr>
            </w:pPr>
            <w:r>
              <w:rPr>
                <w:rFonts w:hint="default" w:ascii="Cambria" w:hAnsi="Cambria" w:cs="Cambria"/>
                <w:color w:val="262626"/>
                <w:sz w:val="18"/>
                <w:szCs w:val="24"/>
              </w:rPr>
              <w:t xml:space="preserve">How stress physiology, sleep, nervous-system regulation and recovery </w:t>
            </w:r>
            <w:r>
              <w:rPr>
                <w:rFonts w:hint="default" w:ascii="Cambria" w:hAnsi="Cambria" w:cs="Cambria"/>
                <w:color w:val="262626"/>
                <w:sz w:val="18"/>
                <w:szCs w:val="24"/>
                <w:lang w:val="en-MY"/>
              </w:rPr>
              <w:t>drive mental</w:t>
            </w:r>
            <w:r>
              <w:rPr>
                <w:rFonts w:hint="default" w:ascii="Cambria" w:hAnsi="Cambria" w:cs="Cambria"/>
                <w:color w:val="262626"/>
                <w:sz w:val="18"/>
                <w:szCs w:val="24"/>
              </w:rPr>
              <w:t xml:space="preserve"> clarity, </w:t>
            </w:r>
            <w:r>
              <w:rPr>
                <w:rFonts w:hint="default" w:ascii="Cambria" w:hAnsi="Cambria" w:cs="Cambria"/>
                <w:color w:val="262626"/>
                <w:sz w:val="18"/>
                <w:szCs w:val="24"/>
                <w:lang w:val="en-MY"/>
              </w:rPr>
              <w:t>emotional</w:t>
            </w:r>
            <w:r>
              <w:rPr>
                <w:rFonts w:hint="default" w:ascii="Cambria" w:hAnsi="Cambria" w:cs="Cambria"/>
                <w:color w:val="262626"/>
                <w:sz w:val="18"/>
                <w:szCs w:val="24"/>
              </w:rPr>
              <w:t xml:space="preserve"> resilience and long-term </w:t>
            </w:r>
            <w:r>
              <w:rPr>
                <w:rFonts w:hint="default" w:ascii="Cambria" w:hAnsi="Cambria" w:cs="Cambria"/>
                <w:color w:val="262626"/>
                <w:sz w:val="18"/>
                <w:szCs w:val="24"/>
                <w:lang w:val="en-MY"/>
              </w:rPr>
              <w:t>executive capacity.</w:t>
            </w:r>
          </w:p>
        </w:tc>
        <w:tc>
          <w:tcPr>
            <w:tcW w:w="5256" w:type="dxa"/>
            <w:shd w:val="clear" w:color="auto" w:fill="F4F7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B94514F">
            <w:pPr>
              <w:spacing w:after="40"/>
              <w:rPr>
                <w:rFonts w:hint="default" w:ascii="Cambria" w:hAnsi="Cambria" w:cs="Cambria"/>
                <w:sz w:val="20"/>
                <w:szCs w:val="24"/>
              </w:rPr>
            </w:pPr>
            <w:r>
              <w:rPr>
                <w:rFonts w:hint="default" w:ascii="Cambria" w:hAnsi="Cambria" w:cs="Cambria"/>
                <w:b/>
                <w:color w:val="192D42"/>
                <w:sz w:val="20"/>
                <w:szCs w:val="24"/>
              </w:rPr>
              <w:t>The Human Operating System</w:t>
            </w:r>
          </w:p>
          <w:p w14:paraId="73D5ABC8">
            <w:pPr>
              <w:spacing w:after="0"/>
              <w:rPr>
                <w:rFonts w:hint="default" w:ascii="Cambria" w:hAnsi="Cambria" w:cs="Cambria"/>
                <w:sz w:val="20"/>
                <w:szCs w:val="24"/>
                <w:lang w:val="en-MY"/>
              </w:rPr>
            </w:pPr>
            <w:r>
              <w:rPr>
                <w:rFonts w:hint="default" w:ascii="Cambria" w:hAnsi="Cambria" w:cs="Cambria"/>
                <w:color w:val="262626"/>
                <w:sz w:val="18"/>
                <w:szCs w:val="24"/>
              </w:rPr>
              <w:t xml:space="preserve">A </w:t>
            </w:r>
            <w:r>
              <w:rPr>
                <w:rFonts w:hint="default" w:ascii="Cambria" w:hAnsi="Cambria" w:cs="Cambria"/>
                <w:color w:val="262626"/>
                <w:sz w:val="18"/>
                <w:szCs w:val="24"/>
                <w:lang w:val="en-MY"/>
              </w:rPr>
              <w:t xml:space="preserve">unified </w:t>
            </w:r>
            <w:r>
              <w:rPr>
                <w:rFonts w:hint="default" w:ascii="Cambria" w:hAnsi="Cambria" w:cs="Cambria"/>
                <w:color w:val="262626"/>
                <w:sz w:val="18"/>
                <w:szCs w:val="24"/>
              </w:rPr>
              <w:t xml:space="preserve">whole-person </w:t>
            </w:r>
            <w:r>
              <w:rPr>
                <w:rFonts w:hint="default" w:ascii="Cambria" w:hAnsi="Cambria" w:cs="Cambria"/>
                <w:color w:val="262626"/>
                <w:sz w:val="18"/>
                <w:szCs w:val="24"/>
                <w:lang w:val="en-MY"/>
              </w:rPr>
              <w:t>model exploring how the</w:t>
            </w:r>
            <w:r>
              <w:rPr>
                <w:rFonts w:hint="default" w:ascii="Cambria" w:hAnsi="Cambria" w:cs="Cambria"/>
                <w:color w:val="262626"/>
                <w:sz w:val="18"/>
                <w:szCs w:val="24"/>
              </w:rPr>
              <w:t xml:space="preserve"> brain, hormones, immunity, environment and m</w:t>
            </w:r>
            <w:r>
              <w:rPr>
                <w:rFonts w:hint="default" w:ascii="Cambria" w:hAnsi="Cambria" w:cs="Cambria"/>
                <w:color w:val="262626"/>
                <w:sz w:val="18"/>
                <w:szCs w:val="24"/>
                <w:lang w:val="en-MY"/>
              </w:rPr>
              <w:t>indset</w:t>
            </w:r>
            <w:r>
              <w:rPr>
                <w:rFonts w:hint="default" w:ascii="Cambria" w:hAnsi="Cambria" w:cs="Cambria"/>
                <w:color w:val="262626"/>
                <w:sz w:val="18"/>
                <w:szCs w:val="24"/>
              </w:rPr>
              <w:t xml:space="preserve"> interact — and why </w:t>
            </w:r>
            <w:r>
              <w:rPr>
                <w:rFonts w:hint="default" w:ascii="Cambria" w:hAnsi="Cambria" w:cs="Cambria"/>
                <w:color w:val="262626"/>
                <w:sz w:val="18"/>
                <w:szCs w:val="24"/>
                <w:lang w:val="en-MY"/>
              </w:rPr>
              <w:t xml:space="preserve">fragmented </w:t>
            </w:r>
            <w:r>
              <w:rPr>
                <w:rFonts w:hint="default" w:ascii="Cambria" w:hAnsi="Cambria" w:cs="Cambria"/>
                <w:color w:val="262626"/>
                <w:sz w:val="18"/>
                <w:szCs w:val="24"/>
              </w:rPr>
              <w:t xml:space="preserve">solutions </w:t>
            </w:r>
            <w:r>
              <w:rPr>
                <w:rFonts w:hint="default" w:ascii="Cambria" w:hAnsi="Cambria" w:cs="Cambria"/>
                <w:color w:val="262626"/>
                <w:sz w:val="18"/>
                <w:szCs w:val="24"/>
                <w:lang w:val="en-MY"/>
              </w:rPr>
              <w:t>fail.</w:t>
            </w:r>
          </w:p>
        </w:tc>
      </w:tr>
      <w:tr w14:paraId="616345F0">
        <w:tblPrEx>
          <w:tblBorders>
            <w:top w:val="none" w:color="FFFFFF" w:sz="0" w:space="0"/>
            <w:left w:val="none" w:color="FFFFFF" w:sz="0" w:space="0"/>
            <w:bottom w:val="none" w:color="FFFFFF" w:sz="0" w:space="0"/>
            <w:right w:val="none" w:color="FFFFFF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56" w:type="dxa"/>
            <w:shd w:val="clear" w:color="auto" w:fill="F4F7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7F5C45B">
            <w:pPr>
              <w:spacing w:after="40"/>
              <w:rPr>
                <w:rFonts w:hint="default" w:ascii="Cambria" w:hAnsi="Cambria" w:cs="Cambria"/>
                <w:sz w:val="20"/>
                <w:szCs w:val="24"/>
              </w:rPr>
            </w:pPr>
            <w:r>
              <w:rPr>
                <w:rFonts w:hint="default" w:ascii="Cambria" w:hAnsi="Cambria" w:cs="Cambria"/>
                <w:b/>
                <w:color w:val="192D42"/>
                <w:sz w:val="20"/>
                <w:szCs w:val="24"/>
              </w:rPr>
              <w:t>Complex Medicine, Clear Decisions</w:t>
            </w:r>
          </w:p>
          <w:p w14:paraId="785EB800">
            <w:pPr>
              <w:spacing w:after="0"/>
              <w:rPr>
                <w:rFonts w:hint="default" w:ascii="Cambria" w:hAnsi="Cambria" w:cs="Cambria"/>
                <w:sz w:val="20"/>
                <w:szCs w:val="24"/>
              </w:rPr>
            </w:pPr>
            <w:r>
              <w:rPr>
                <w:rFonts w:hint="default" w:ascii="Cambria" w:hAnsi="Cambria" w:cs="Cambria"/>
                <w:color w:val="262626"/>
                <w:sz w:val="18"/>
                <w:szCs w:val="24"/>
                <w:lang w:val="en-MY"/>
              </w:rPr>
              <w:t xml:space="preserve">Strategic </w:t>
            </w:r>
            <w:r>
              <w:rPr>
                <w:rFonts w:hint="default" w:ascii="Cambria" w:hAnsi="Cambria" w:cs="Cambria"/>
                <w:color w:val="262626"/>
                <w:sz w:val="18"/>
                <w:szCs w:val="24"/>
              </w:rPr>
              <w:t xml:space="preserve">Lessons from high-stakes healthcare: </w:t>
            </w:r>
            <w:r>
              <w:rPr>
                <w:rFonts w:hint="default" w:ascii="Cambria" w:hAnsi="Cambria" w:cs="Cambria"/>
                <w:color w:val="262626"/>
                <w:sz w:val="18"/>
                <w:szCs w:val="24"/>
                <w:lang w:val="en-MY"/>
              </w:rPr>
              <w:t xml:space="preserve">leading </w:t>
            </w:r>
            <w:r>
              <w:rPr>
                <w:rFonts w:hint="default" w:ascii="Cambria" w:hAnsi="Cambria" w:cs="Cambria"/>
                <w:color w:val="262626"/>
                <w:sz w:val="18"/>
                <w:szCs w:val="24"/>
              </w:rPr>
              <w:t xml:space="preserve">under uncertainty, balancing </w:t>
            </w:r>
            <w:r>
              <w:rPr>
                <w:rFonts w:hint="default" w:ascii="Cambria" w:hAnsi="Cambria" w:cs="Cambria"/>
                <w:color w:val="262626"/>
                <w:sz w:val="18"/>
                <w:szCs w:val="24"/>
                <w:lang w:val="en-MY"/>
              </w:rPr>
              <w:t xml:space="preserve">clinical </w:t>
            </w:r>
            <w:r>
              <w:rPr>
                <w:rFonts w:hint="default" w:ascii="Cambria" w:hAnsi="Cambria" w:cs="Cambria"/>
                <w:color w:val="262626"/>
                <w:sz w:val="18"/>
                <w:szCs w:val="24"/>
              </w:rPr>
              <w:t>evidence with</w:t>
            </w:r>
            <w:r>
              <w:rPr>
                <w:rFonts w:hint="default" w:ascii="Cambria" w:hAnsi="Cambria" w:cs="Cambria"/>
                <w:color w:val="262626"/>
                <w:sz w:val="18"/>
                <w:szCs w:val="24"/>
                <w:lang w:val="en-MY"/>
              </w:rPr>
              <w:t xml:space="preserve"> operational</w:t>
            </w:r>
            <w:r>
              <w:rPr>
                <w:rFonts w:hint="default" w:ascii="Cambria" w:hAnsi="Cambria" w:cs="Cambria"/>
                <w:color w:val="262626"/>
                <w:sz w:val="18"/>
                <w:szCs w:val="24"/>
              </w:rPr>
              <w:t xml:space="preserve"> context, and aligning </w:t>
            </w:r>
            <w:r>
              <w:rPr>
                <w:rFonts w:hint="default" w:ascii="Cambria" w:hAnsi="Cambria" w:cs="Cambria"/>
                <w:color w:val="262626"/>
                <w:sz w:val="18"/>
                <w:szCs w:val="24"/>
                <w:lang w:val="en-MY"/>
              </w:rPr>
              <w:t xml:space="preserve">cross functional </w:t>
            </w:r>
            <w:r>
              <w:rPr>
                <w:rFonts w:hint="default" w:ascii="Cambria" w:hAnsi="Cambria" w:cs="Cambria"/>
                <w:color w:val="262626"/>
                <w:sz w:val="18"/>
                <w:szCs w:val="24"/>
              </w:rPr>
              <w:t>stakeholders</w:t>
            </w:r>
          </w:p>
        </w:tc>
        <w:tc>
          <w:tcPr>
            <w:tcW w:w="5256" w:type="dxa"/>
            <w:shd w:val="clear" w:color="auto" w:fill="F4F7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05C8419">
            <w:pPr>
              <w:spacing w:after="40"/>
              <w:rPr>
                <w:rFonts w:hint="default" w:ascii="Cambria" w:hAnsi="Cambria" w:cs="Cambria"/>
                <w:sz w:val="20"/>
                <w:szCs w:val="24"/>
              </w:rPr>
            </w:pPr>
            <w:r>
              <w:rPr>
                <w:rFonts w:hint="default" w:ascii="Cambria" w:hAnsi="Cambria" w:cs="Cambria"/>
                <w:b/>
                <w:color w:val="192D42"/>
                <w:sz w:val="20"/>
                <w:szCs w:val="24"/>
              </w:rPr>
              <w:t>The Future of Integrated Care</w:t>
            </w:r>
          </w:p>
          <w:p w14:paraId="69D7F8F1">
            <w:pPr>
              <w:spacing w:after="0"/>
              <w:rPr>
                <w:rFonts w:hint="default" w:ascii="Cambria" w:hAnsi="Cambria" w:cs="Cambria"/>
                <w:sz w:val="20"/>
                <w:szCs w:val="24"/>
              </w:rPr>
            </w:pPr>
            <w:r>
              <w:rPr>
                <w:rFonts w:hint="default" w:ascii="Cambria" w:hAnsi="Cambria" w:cs="Cambria"/>
                <w:color w:val="262626"/>
                <w:sz w:val="18"/>
                <w:szCs w:val="24"/>
              </w:rPr>
              <w:t>Where conventional medicine, preventi</w:t>
            </w:r>
            <w:r>
              <w:rPr>
                <w:rFonts w:hint="default" w:ascii="Cambria" w:hAnsi="Cambria" w:cs="Cambria"/>
                <w:color w:val="262626"/>
                <w:sz w:val="18"/>
                <w:szCs w:val="24"/>
                <w:lang w:val="en-MY"/>
              </w:rPr>
              <w:t>ve health</w:t>
            </w:r>
            <w:r>
              <w:rPr>
                <w:rFonts w:hint="default" w:ascii="Cambria" w:hAnsi="Cambria" w:cs="Cambria"/>
                <w:color w:val="262626"/>
                <w:sz w:val="18"/>
                <w:szCs w:val="24"/>
              </w:rPr>
              <w:t>, behavioural science, technology and personalised care c</w:t>
            </w:r>
            <w:r>
              <w:rPr>
                <w:rFonts w:hint="default" w:ascii="Cambria" w:hAnsi="Cambria" w:cs="Cambria"/>
                <w:color w:val="262626"/>
                <w:sz w:val="18"/>
                <w:szCs w:val="24"/>
                <w:lang w:val="en-MY"/>
              </w:rPr>
              <w:t xml:space="preserve">onverge without sacrificing clinical </w:t>
            </w:r>
            <w:r>
              <w:rPr>
                <w:rFonts w:hint="default" w:ascii="Cambria" w:hAnsi="Cambria" w:cs="Cambria"/>
                <w:color w:val="262626"/>
                <w:sz w:val="18"/>
                <w:szCs w:val="24"/>
              </w:rPr>
              <w:t>discipline.</w:t>
            </w:r>
          </w:p>
        </w:tc>
      </w:tr>
      <w:tr w14:paraId="3E5CA3E6">
        <w:tblPrEx>
          <w:tblBorders>
            <w:top w:val="none" w:color="FFFFFF" w:sz="0" w:space="0"/>
            <w:left w:val="none" w:color="FFFFFF" w:sz="0" w:space="0"/>
            <w:bottom w:val="none" w:color="FFFFFF" w:sz="0" w:space="0"/>
            <w:right w:val="none" w:color="FFFFFF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56" w:type="dxa"/>
            <w:shd w:val="clear" w:color="auto" w:fill="F4F7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E50BFBE">
            <w:pPr>
              <w:spacing w:after="40"/>
              <w:rPr>
                <w:rFonts w:hint="default" w:ascii="Cambria" w:hAnsi="Cambria" w:cs="Cambria"/>
                <w:sz w:val="20"/>
                <w:szCs w:val="24"/>
              </w:rPr>
            </w:pPr>
            <w:r>
              <w:rPr>
                <w:rFonts w:hint="default" w:ascii="Cambria" w:hAnsi="Cambria" w:cs="Cambria"/>
                <w:b/>
                <w:color w:val="192D42"/>
                <w:sz w:val="20"/>
                <w:szCs w:val="24"/>
              </w:rPr>
              <w:t>AI + Human Judgment in Healthcare</w:t>
            </w:r>
          </w:p>
          <w:p w14:paraId="742CA899">
            <w:pPr>
              <w:spacing w:after="0"/>
              <w:rPr>
                <w:rFonts w:hint="default" w:ascii="Cambria" w:hAnsi="Cambria" w:cs="Cambria"/>
                <w:sz w:val="20"/>
                <w:szCs w:val="24"/>
                <w:lang w:val="en-MY"/>
              </w:rPr>
            </w:pPr>
            <w:r>
              <w:rPr>
                <w:rFonts w:hint="default" w:ascii="Cambria" w:hAnsi="Cambria" w:cs="Cambria"/>
                <w:color w:val="262626"/>
                <w:sz w:val="18"/>
                <w:szCs w:val="24"/>
                <w:lang w:val="en-MY"/>
              </w:rPr>
              <w:t>Leveraging artificial intelligence to optimize workflows and decision support while preserving human nuance, clinical intuition and ethical accountability.</w:t>
            </w:r>
          </w:p>
        </w:tc>
        <w:tc>
          <w:tcPr>
            <w:tcW w:w="5256" w:type="dxa"/>
            <w:shd w:val="clear" w:color="auto" w:fill="F4F7F9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0631D1A">
            <w:pPr>
              <w:spacing w:after="40"/>
              <w:rPr>
                <w:rFonts w:hint="default" w:ascii="Cambria" w:hAnsi="Cambria" w:cs="Cambria"/>
                <w:sz w:val="20"/>
                <w:szCs w:val="24"/>
              </w:rPr>
            </w:pPr>
            <w:r>
              <w:rPr>
                <w:rFonts w:hint="default" w:ascii="Cambria" w:hAnsi="Cambria" w:cs="Cambria"/>
                <w:b/>
                <w:color w:val="192D42"/>
                <w:sz w:val="20"/>
                <w:szCs w:val="24"/>
              </w:rPr>
              <w:t>Healthspan, Cognitive Reserve &amp; the Second Everest</w:t>
            </w:r>
          </w:p>
          <w:p w14:paraId="3AE07964">
            <w:pPr>
              <w:spacing w:after="0"/>
              <w:rPr>
                <w:rFonts w:hint="default" w:ascii="Cambria" w:hAnsi="Cambria" w:cs="Cambria"/>
                <w:sz w:val="20"/>
                <w:szCs w:val="24"/>
              </w:rPr>
            </w:pPr>
            <w:r>
              <w:rPr>
                <w:rFonts w:hint="default" w:ascii="Cambria" w:hAnsi="Cambria" w:cs="Cambria"/>
                <w:color w:val="262626"/>
                <w:sz w:val="18"/>
                <w:szCs w:val="24"/>
                <w:lang w:val="en-MY"/>
              </w:rPr>
              <w:t>Rethinking a</w:t>
            </w:r>
            <w:r>
              <w:rPr>
                <w:rFonts w:hint="default" w:ascii="Cambria" w:hAnsi="Cambria" w:cs="Cambria"/>
                <w:color w:val="262626"/>
                <w:sz w:val="18"/>
                <w:szCs w:val="24"/>
              </w:rPr>
              <w:t>geing: pr</w:t>
            </w:r>
            <w:r>
              <w:rPr>
                <w:rFonts w:hint="default" w:ascii="Cambria" w:hAnsi="Cambria" w:cs="Cambria"/>
                <w:color w:val="262626"/>
                <w:sz w:val="18"/>
                <w:szCs w:val="24"/>
                <w:lang w:val="en-MY"/>
              </w:rPr>
              <w:t>actical strategies to preserv</w:t>
            </w:r>
            <w:r>
              <w:rPr>
                <w:rFonts w:hint="default" w:ascii="Cambria" w:hAnsi="Cambria" w:cs="Cambria"/>
                <w:color w:val="262626"/>
                <w:sz w:val="18"/>
                <w:szCs w:val="24"/>
              </w:rPr>
              <w:t>e</w:t>
            </w:r>
            <w:r>
              <w:rPr>
                <w:rFonts w:hint="default" w:ascii="Cambria" w:hAnsi="Cambria" w:cs="Cambria"/>
                <w:color w:val="262626"/>
                <w:sz w:val="18"/>
                <w:szCs w:val="24"/>
                <w:lang w:val="en-MY"/>
              </w:rPr>
              <w:t xml:space="preserve"> physical</w:t>
            </w:r>
            <w:r>
              <w:rPr>
                <w:rFonts w:hint="default" w:ascii="Cambria" w:hAnsi="Cambria" w:cs="Cambria"/>
                <w:color w:val="262626"/>
                <w:sz w:val="18"/>
                <w:szCs w:val="24"/>
              </w:rPr>
              <w:t xml:space="preserve"> function, </w:t>
            </w:r>
            <w:r>
              <w:rPr>
                <w:rFonts w:hint="default" w:ascii="Cambria" w:hAnsi="Cambria" w:cs="Cambria"/>
                <w:color w:val="262626"/>
                <w:sz w:val="18"/>
                <w:szCs w:val="24"/>
                <w:lang w:val="en-MY"/>
              </w:rPr>
              <w:t xml:space="preserve">build </w:t>
            </w:r>
            <w:r>
              <w:rPr>
                <w:rFonts w:hint="default" w:ascii="Cambria" w:hAnsi="Cambria" w:cs="Cambria"/>
                <w:color w:val="262626"/>
                <w:sz w:val="18"/>
                <w:szCs w:val="24"/>
              </w:rPr>
              <w:t xml:space="preserve">cognitive reserve and </w:t>
            </w:r>
            <w:r>
              <w:rPr>
                <w:rFonts w:hint="default" w:ascii="Cambria" w:hAnsi="Cambria" w:cs="Cambria"/>
                <w:color w:val="262626"/>
                <w:sz w:val="18"/>
                <w:szCs w:val="24"/>
                <w:lang w:val="en-MY"/>
              </w:rPr>
              <w:t xml:space="preserve">engineer </w:t>
            </w:r>
            <w:r>
              <w:rPr>
                <w:rFonts w:hint="default" w:ascii="Cambria" w:hAnsi="Cambria" w:cs="Cambria"/>
                <w:color w:val="262626"/>
                <w:sz w:val="18"/>
                <w:szCs w:val="24"/>
              </w:rPr>
              <w:t xml:space="preserve">a meaningful </w:t>
            </w:r>
            <w:r>
              <w:rPr>
                <w:rFonts w:hint="default" w:ascii="Cambria" w:hAnsi="Cambria" w:cs="Cambria"/>
                <w:color w:val="262626"/>
                <w:sz w:val="18"/>
                <w:szCs w:val="24"/>
                <w:lang w:val="en-MY"/>
              </w:rPr>
              <w:t xml:space="preserve">life </w:t>
            </w:r>
            <w:r>
              <w:rPr>
                <w:rFonts w:hint="default" w:ascii="Cambria" w:hAnsi="Cambria" w:cs="Cambria"/>
                <w:color w:val="262626"/>
                <w:sz w:val="18"/>
                <w:szCs w:val="24"/>
              </w:rPr>
              <w:t>chapter beyond retirement.</w:t>
            </w:r>
          </w:p>
        </w:tc>
      </w:tr>
    </w:tbl>
    <w:p w14:paraId="6D153BFA">
      <w:pPr>
        <w:pStyle w:val="167"/>
        <w:keepNext/>
        <w:pBdr>
          <w:bottom w:val="single" w:color="B9C7D1" w:sz="6" w:space="1"/>
        </w:pBdr>
        <w:spacing w:before="100" w:after="80"/>
        <w:rPr>
          <w:rFonts w:hint="default" w:ascii="Cambria" w:hAnsi="Cambria" w:cs="Cambria"/>
          <w:b/>
          <w:color w:val="192D42"/>
          <w:sz w:val="24"/>
          <w:szCs w:val="24"/>
          <w:lang w:val="en-MY"/>
        </w:rPr>
      </w:pPr>
    </w:p>
    <w:p w14:paraId="5684DF7C">
      <w:pPr>
        <w:pStyle w:val="167"/>
        <w:keepNext/>
        <w:pBdr>
          <w:bottom w:val="single" w:color="B9C7D1" w:sz="6" w:space="1"/>
        </w:pBdr>
        <w:spacing w:before="100" w:after="80"/>
        <w:rPr>
          <w:rFonts w:hint="default" w:ascii="Cambria" w:hAnsi="Cambria" w:cs="Cambria"/>
          <w:b/>
          <w:color w:val="192D42"/>
          <w:sz w:val="24"/>
          <w:szCs w:val="24"/>
        </w:rPr>
      </w:pPr>
      <w:r>
        <w:rPr>
          <w:rFonts w:hint="default" w:ascii="Cambria" w:hAnsi="Cambria" w:cs="Cambria"/>
          <w:b/>
          <w:color w:val="192D42"/>
          <w:sz w:val="24"/>
          <w:szCs w:val="24"/>
          <w:lang w:val="en-MY"/>
        </w:rPr>
        <w:t>ENGAGEMENT FORMAT &amp; AUDIENCE FIT</w:t>
      </w:r>
    </w:p>
    <w:tbl>
      <w:tblPr>
        <w:tblStyle w:val="36"/>
        <w:tblW w:w="0" w:type="auto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34"/>
        <w:gridCol w:w="3480"/>
        <w:gridCol w:w="4190"/>
      </w:tblGrid>
      <w:tr w14:paraId="23592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4F81BD" w:themeFill="accent1"/>
            <w:vAlign w:val="top"/>
          </w:tcPr>
          <w:p w14:paraId="14CE0B9D">
            <w:pPr>
              <w:spacing w:after="0"/>
              <w:jc w:val="center"/>
              <w:rPr>
                <w:rFonts w:hint="default" w:ascii="Cambria" w:hAnsi="Cambria" w:cs="Cambria"/>
                <w:b/>
                <w:i w:val="0"/>
                <w:color w:val="FFFFFF"/>
                <w:sz w:val="18"/>
                <w:szCs w:val="18"/>
                <w:vertAlign w:val="baseline"/>
                <w:lang w:val="en-MY"/>
              </w:rPr>
            </w:pPr>
            <w:r>
              <w:rPr>
                <w:rFonts w:hint="default" w:ascii="Cambria" w:hAnsi="Cambria" w:cs="Cambria"/>
                <w:b/>
                <w:i w:val="0"/>
                <w:color w:val="FFFFFF"/>
                <w:sz w:val="18"/>
                <w:szCs w:val="18"/>
                <w:vertAlign w:val="baseline"/>
                <w:lang w:val="en-MY"/>
              </w:rPr>
              <w:t>EVENT TYPES</w:t>
            </w:r>
          </w:p>
        </w:tc>
        <w:tc>
          <w:tcPr>
            <w:tcW w:w="348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4F81BD" w:themeFill="accent1"/>
            <w:vAlign w:val="top"/>
          </w:tcPr>
          <w:p w14:paraId="78152D38">
            <w:pPr>
              <w:spacing w:after="0"/>
              <w:jc w:val="center"/>
              <w:rPr>
                <w:rFonts w:hint="default" w:ascii="Cambria" w:hAnsi="Cambria" w:cs="Cambria"/>
                <w:b/>
                <w:i w:val="0"/>
                <w:color w:val="FFFFFF" w:themeColor="background1"/>
                <w:sz w:val="18"/>
                <w:szCs w:val="18"/>
                <w:vertAlign w:val="baseline"/>
                <w:lang w:val="en-MY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Cambria" w:hAnsi="Cambria" w:cs="Cambria"/>
                <w:b/>
                <w:i w:val="0"/>
                <w:color w:val="FFFFFF" w:themeColor="background1"/>
                <w:sz w:val="18"/>
                <w:szCs w:val="18"/>
                <w:vertAlign w:val="baseline"/>
                <w:lang w:val="en-MY"/>
                <w14:textFill>
                  <w14:solidFill>
                    <w14:schemeClr w14:val="bg1"/>
                  </w14:solidFill>
                </w14:textFill>
              </w:rPr>
              <w:t>TARGET AUDIENCES</w:t>
            </w:r>
          </w:p>
        </w:tc>
        <w:tc>
          <w:tcPr>
            <w:tcW w:w="419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4F81BD" w:themeFill="accent1"/>
            <w:vAlign w:val="top"/>
          </w:tcPr>
          <w:p w14:paraId="2E049F31">
            <w:pPr>
              <w:spacing w:after="0"/>
              <w:jc w:val="center"/>
              <w:rPr>
                <w:rFonts w:hint="default" w:ascii="Cambria" w:hAnsi="Cambria" w:cs="Cambria"/>
                <w:b/>
                <w:i w:val="0"/>
                <w:color w:val="FFFFFF" w:themeColor="background1"/>
                <w:sz w:val="18"/>
                <w:szCs w:val="18"/>
                <w:vertAlign w:val="baseline"/>
                <w:lang w:val="en-MY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default" w:ascii="Cambria" w:hAnsi="Cambria" w:cs="Cambria"/>
                <w:b/>
                <w:i w:val="0"/>
                <w:color w:val="FFFFFF" w:themeColor="background1"/>
                <w:sz w:val="18"/>
                <w:szCs w:val="18"/>
                <w:vertAlign w:val="baseline"/>
                <w:lang w:val="en-MY"/>
                <w14:textFill>
                  <w14:solidFill>
                    <w14:schemeClr w14:val="bg1"/>
                  </w14:solidFill>
                </w14:textFill>
              </w:rPr>
              <w:t>SPEAKING THEMES</w:t>
            </w:r>
          </w:p>
        </w:tc>
      </w:tr>
      <w:tr w14:paraId="50015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8CCE4" w:themeFill="accent1" w:themeFillTint="66"/>
            <w:vAlign w:val="top"/>
          </w:tcPr>
          <w:p w14:paraId="7A506E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4" w:lineRule="auto"/>
              <w:jc w:val="center"/>
              <w:textAlignment w:val="auto"/>
              <w:rPr>
                <w:rFonts w:hint="default" w:ascii="Cambria" w:hAnsi="Cambria" w:cs="Cambria"/>
                <w:b w:val="0"/>
                <w:i w:val="0"/>
                <w:color w:val="000000"/>
                <w:sz w:val="18"/>
                <w:szCs w:val="18"/>
                <w:vertAlign w:val="baseline"/>
              </w:rPr>
            </w:pPr>
            <w:r>
              <w:rPr>
                <w:rFonts w:hint="default" w:ascii="Cambria" w:hAnsi="Cambria" w:eastAsia="SimSun" w:cs="Cambria"/>
                <w:sz w:val="18"/>
                <w:szCs w:val="18"/>
              </w:rPr>
              <w:t>Keynote Addresses</w:t>
            </w:r>
          </w:p>
        </w:tc>
        <w:tc>
          <w:tcPr>
            <w:tcW w:w="348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8CCE4" w:themeFill="accent1" w:themeFillTint="66"/>
            <w:vAlign w:val="top"/>
          </w:tcPr>
          <w:p w14:paraId="0D4E65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4" w:lineRule="auto"/>
              <w:jc w:val="center"/>
              <w:textAlignment w:val="auto"/>
              <w:rPr>
                <w:rFonts w:hint="default" w:ascii="Cambria" w:hAnsi="Cambria" w:cs="Cambria"/>
                <w:b w:val="0"/>
                <w:i w:val="0"/>
                <w:color w:val="000000"/>
                <w:sz w:val="18"/>
                <w:szCs w:val="18"/>
                <w:vertAlign w:val="baseline"/>
              </w:rPr>
            </w:pPr>
            <w:r>
              <w:rPr>
                <w:rFonts w:hint="default" w:ascii="Cambria" w:hAnsi="Cambria" w:eastAsia="SimSun" w:cs="Cambria"/>
                <w:sz w:val="18"/>
                <w:szCs w:val="18"/>
              </w:rPr>
              <w:t>Senior Executives</w:t>
            </w:r>
          </w:p>
        </w:tc>
        <w:tc>
          <w:tcPr>
            <w:tcW w:w="419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8CCE4" w:themeFill="accent1" w:themeFillTint="66"/>
            <w:vAlign w:val="top"/>
          </w:tcPr>
          <w:p w14:paraId="139DB9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4" w:lineRule="auto"/>
              <w:jc w:val="center"/>
              <w:textAlignment w:val="auto"/>
              <w:rPr>
                <w:rFonts w:hint="default" w:ascii="Cambria" w:hAnsi="Cambria" w:cs="Cambria"/>
                <w:b w:val="0"/>
                <w:i w:val="0"/>
                <w:color w:val="000000"/>
                <w:sz w:val="18"/>
                <w:szCs w:val="18"/>
                <w:vertAlign w:val="baseline"/>
              </w:rPr>
            </w:pPr>
            <w:r>
              <w:rPr>
                <w:rFonts w:hint="default" w:ascii="Cambria" w:hAnsi="Cambria" w:eastAsia="SimSun" w:cs="Cambria"/>
                <w:sz w:val="18"/>
                <w:szCs w:val="18"/>
              </w:rPr>
              <w:t>Human Performance, Stress &amp; Sustainable Success</w:t>
            </w:r>
          </w:p>
        </w:tc>
      </w:tr>
      <w:tr w14:paraId="50675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2F8" w:themeFill="accent1" w:themeFillTint="19"/>
            <w:vAlign w:val="top"/>
          </w:tcPr>
          <w:p w14:paraId="5F13C5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4" w:lineRule="auto"/>
              <w:jc w:val="center"/>
              <w:textAlignment w:val="auto"/>
              <w:rPr>
                <w:rFonts w:hint="default" w:ascii="Cambria" w:hAnsi="Cambria" w:cs="Cambria"/>
                <w:b w:val="0"/>
                <w:i w:val="0"/>
                <w:color w:val="000000"/>
                <w:sz w:val="18"/>
                <w:szCs w:val="18"/>
                <w:vertAlign w:val="baseline"/>
              </w:rPr>
            </w:pPr>
            <w:r>
              <w:rPr>
                <w:rFonts w:hint="default" w:ascii="Cambria" w:hAnsi="Cambria" w:eastAsia="SimSun" w:cs="Cambria"/>
                <w:sz w:val="18"/>
                <w:szCs w:val="18"/>
              </w:rPr>
              <w:t>Panel Discussions &amp; Fireside Chats</w:t>
            </w:r>
          </w:p>
        </w:tc>
        <w:tc>
          <w:tcPr>
            <w:tcW w:w="348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2F8" w:themeFill="accent1" w:themeFillTint="19"/>
            <w:vAlign w:val="top"/>
          </w:tcPr>
          <w:p w14:paraId="6826A1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4" w:lineRule="auto"/>
              <w:jc w:val="center"/>
              <w:textAlignment w:val="auto"/>
              <w:rPr>
                <w:rFonts w:hint="default" w:ascii="Cambria" w:hAnsi="Cambria" w:cs="Cambria"/>
                <w:b w:val="0"/>
                <w:i w:val="0"/>
                <w:color w:val="000000"/>
                <w:sz w:val="18"/>
                <w:szCs w:val="18"/>
                <w:vertAlign w:val="baseline"/>
              </w:rPr>
            </w:pPr>
            <w:r>
              <w:rPr>
                <w:rFonts w:hint="default" w:ascii="Cambria" w:hAnsi="Cambria" w:eastAsia="SimSun" w:cs="Cambria"/>
                <w:sz w:val="18"/>
                <w:szCs w:val="18"/>
              </w:rPr>
              <w:t>Healthcare Executives &amp; Clinical Leaders</w:t>
            </w:r>
          </w:p>
        </w:tc>
        <w:tc>
          <w:tcPr>
            <w:tcW w:w="419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2F8" w:themeFill="accent1" w:themeFillTint="19"/>
            <w:vAlign w:val="top"/>
          </w:tcPr>
          <w:p w14:paraId="2B8CB5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4" w:lineRule="auto"/>
              <w:jc w:val="center"/>
              <w:textAlignment w:val="auto"/>
              <w:rPr>
                <w:rFonts w:hint="default" w:ascii="Cambria" w:hAnsi="Cambria" w:cs="Cambria"/>
                <w:b w:val="0"/>
                <w:i w:val="0"/>
                <w:color w:val="000000"/>
                <w:sz w:val="18"/>
                <w:szCs w:val="18"/>
                <w:vertAlign w:val="baseline"/>
              </w:rPr>
            </w:pPr>
            <w:r>
              <w:rPr>
                <w:rFonts w:hint="default" w:ascii="Cambria" w:hAnsi="Cambria" w:eastAsia="SimSun" w:cs="Cambria"/>
                <w:sz w:val="18"/>
                <w:szCs w:val="18"/>
              </w:rPr>
              <w:t>The Future of Integrative Healthcare</w:t>
            </w:r>
          </w:p>
        </w:tc>
      </w:tr>
      <w:tr w14:paraId="032DC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8CCE4" w:themeFill="accent1" w:themeFillTint="66"/>
            <w:vAlign w:val="top"/>
          </w:tcPr>
          <w:p w14:paraId="49841C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4" w:lineRule="auto"/>
              <w:jc w:val="center"/>
              <w:textAlignment w:val="auto"/>
              <w:rPr>
                <w:rFonts w:hint="default" w:ascii="Cambria" w:hAnsi="Cambria" w:cs="Cambria"/>
                <w:b w:val="0"/>
                <w:i w:val="0"/>
                <w:color w:val="000000"/>
                <w:sz w:val="18"/>
                <w:szCs w:val="18"/>
                <w:vertAlign w:val="baseline"/>
              </w:rPr>
            </w:pPr>
            <w:r>
              <w:rPr>
                <w:rFonts w:hint="default" w:ascii="Cambria" w:hAnsi="Cambria" w:eastAsia="SimSun" w:cs="Cambria"/>
                <w:sz w:val="18"/>
                <w:szCs w:val="18"/>
              </w:rPr>
              <w:t>Healthcare &amp; Corporate Conferences</w:t>
            </w:r>
          </w:p>
        </w:tc>
        <w:tc>
          <w:tcPr>
            <w:tcW w:w="348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8CCE4" w:themeFill="accent1" w:themeFillTint="66"/>
            <w:vAlign w:val="top"/>
          </w:tcPr>
          <w:p w14:paraId="27845F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4" w:lineRule="auto"/>
              <w:jc w:val="center"/>
              <w:textAlignment w:val="auto"/>
              <w:rPr>
                <w:rFonts w:hint="default" w:ascii="Cambria" w:hAnsi="Cambria" w:cs="Cambria"/>
                <w:b w:val="0"/>
                <w:i w:val="0"/>
                <w:color w:val="000000"/>
                <w:sz w:val="18"/>
                <w:szCs w:val="18"/>
                <w:vertAlign w:val="baseline"/>
              </w:rPr>
            </w:pPr>
            <w:r>
              <w:rPr>
                <w:rFonts w:hint="default" w:ascii="Cambria" w:hAnsi="Cambria" w:eastAsia="SimSun" w:cs="Cambria"/>
                <w:sz w:val="18"/>
                <w:szCs w:val="18"/>
              </w:rPr>
              <w:t>HR, People &amp; Wellbeing Leaders</w:t>
            </w:r>
          </w:p>
        </w:tc>
        <w:tc>
          <w:tcPr>
            <w:tcW w:w="419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B8CCE4" w:themeFill="accent1" w:themeFillTint="66"/>
            <w:vAlign w:val="top"/>
          </w:tcPr>
          <w:p w14:paraId="6EA2E7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4" w:lineRule="auto"/>
              <w:jc w:val="center"/>
              <w:textAlignment w:val="auto"/>
              <w:rPr>
                <w:rFonts w:hint="default" w:ascii="Cambria" w:hAnsi="Cambria" w:cs="Cambria"/>
                <w:b w:val="0"/>
                <w:i w:val="0"/>
                <w:color w:val="000000"/>
                <w:sz w:val="18"/>
                <w:szCs w:val="18"/>
                <w:vertAlign w:val="baseline"/>
              </w:rPr>
            </w:pPr>
            <w:r>
              <w:rPr>
                <w:rFonts w:hint="default" w:ascii="Cambria" w:hAnsi="Cambria" w:eastAsia="SimSun" w:cs="Cambria"/>
                <w:sz w:val="18"/>
                <w:szCs w:val="18"/>
              </w:rPr>
              <w:t>Burnout, Resilience &amp; Organisational Wellbeing</w:t>
            </w:r>
          </w:p>
        </w:tc>
      </w:tr>
      <w:tr w14:paraId="0BA7F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2F8" w:themeFill="accent1" w:themeFillTint="19"/>
            <w:vAlign w:val="top"/>
          </w:tcPr>
          <w:p w14:paraId="3A67B2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4" w:lineRule="auto"/>
              <w:jc w:val="center"/>
              <w:textAlignment w:val="auto"/>
              <w:rPr>
                <w:rFonts w:hint="default" w:ascii="Cambria" w:hAnsi="Cambria" w:cs="Cambria"/>
                <w:b w:val="0"/>
                <w:i w:val="0"/>
                <w:color w:val="000000"/>
                <w:sz w:val="18"/>
                <w:szCs w:val="18"/>
                <w:vertAlign w:val="baseline"/>
              </w:rPr>
            </w:pPr>
            <w:r>
              <w:rPr>
                <w:rFonts w:hint="default" w:ascii="Cambria" w:hAnsi="Cambria" w:eastAsia="SimSun" w:cs="Cambria"/>
                <w:sz w:val="18"/>
                <w:szCs w:val="18"/>
              </w:rPr>
              <w:t>Medical &amp; Professional Education Events</w:t>
            </w:r>
          </w:p>
        </w:tc>
        <w:tc>
          <w:tcPr>
            <w:tcW w:w="348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2F8" w:themeFill="accent1" w:themeFillTint="19"/>
            <w:vAlign w:val="top"/>
          </w:tcPr>
          <w:p w14:paraId="3853F0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4" w:lineRule="auto"/>
              <w:jc w:val="center"/>
              <w:textAlignment w:val="auto"/>
              <w:rPr>
                <w:rFonts w:hint="default" w:ascii="Cambria" w:hAnsi="Cambria" w:cs="Cambria"/>
                <w:b w:val="0"/>
                <w:i w:val="0"/>
                <w:color w:val="000000"/>
                <w:sz w:val="18"/>
                <w:szCs w:val="18"/>
                <w:vertAlign w:val="baseline"/>
              </w:rPr>
            </w:pPr>
            <w:r>
              <w:rPr>
                <w:rFonts w:hint="default" w:ascii="Cambria" w:hAnsi="Cambria" w:eastAsia="SimSun" w:cs="Cambria"/>
                <w:sz w:val="18"/>
                <w:szCs w:val="18"/>
              </w:rPr>
              <w:t>Physicians, Healthcare Professionals &amp; Allied Health Teams</w:t>
            </w:r>
          </w:p>
        </w:tc>
        <w:tc>
          <w:tcPr>
            <w:tcW w:w="419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2F8" w:themeFill="accent1" w:themeFillTint="19"/>
            <w:vAlign w:val="top"/>
          </w:tcPr>
          <w:p w14:paraId="1D77A0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4" w:lineRule="auto"/>
              <w:jc w:val="center"/>
              <w:textAlignment w:val="auto"/>
              <w:rPr>
                <w:rFonts w:hint="default" w:ascii="Cambria" w:hAnsi="Cambria" w:cs="Cambria"/>
                <w:b w:val="0"/>
                <w:i w:val="0"/>
                <w:color w:val="000000"/>
                <w:sz w:val="18"/>
                <w:szCs w:val="18"/>
                <w:vertAlign w:val="baseline"/>
              </w:rPr>
            </w:pPr>
            <w:r>
              <w:rPr>
                <w:rFonts w:hint="default" w:ascii="Cambria" w:hAnsi="Cambria" w:eastAsia="SimSun" w:cs="Cambria"/>
                <w:sz w:val="18"/>
                <w:szCs w:val="18"/>
              </w:rPr>
              <w:t>Connecting Mind, Brain, Hormones &amp; Immunity</w:t>
            </w:r>
          </w:p>
        </w:tc>
      </w:tr>
      <w:tr w14:paraId="50A82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2F8" w:themeFill="accent1" w:themeFillTint="19"/>
            <w:vAlign w:val="top"/>
          </w:tcPr>
          <w:p w14:paraId="49565B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4" w:lineRule="auto"/>
              <w:jc w:val="center"/>
              <w:textAlignment w:val="auto"/>
              <w:rPr>
                <w:rFonts w:hint="default" w:ascii="Cambria" w:hAnsi="Cambria" w:eastAsia="SimSun" w:cs="Cambria"/>
                <w:sz w:val="18"/>
                <w:szCs w:val="18"/>
              </w:rPr>
            </w:pPr>
            <w:r>
              <w:rPr>
                <w:rFonts w:hint="default" w:ascii="Cambria" w:hAnsi="Cambria" w:eastAsia="SimSun" w:cs="Cambria"/>
                <w:sz w:val="18"/>
                <w:szCs w:val="18"/>
              </w:rPr>
              <w:t>Wellness &amp; Human Performance Events</w:t>
            </w:r>
          </w:p>
        </w:tc>
        <w:tc>
          <w:tcPr>
            <w:tcW w:w="348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2F8" w:themeFill="accent1" w:themeFillTint="19"/>
            <w:vAlign w:val="top"/>
          </w:tcPr>
          <w:p w14:paraId="6C9B75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4" w:lineRule="auto"/>
              <w:jc w:val="center"/>
              <w:textAlignment w:val="auto"/>
              <w:rPr>
                <w:rFonts w:hint="default" w:ascii="Cambria" w:hAnsi="Cambria" w:eastAsia="SimSun" w:cs="Cambria"/>
                <w:sz w:val="18"/>
                <w:szCs w:val="18"/>
              </w:rPr>
            </w:pPr>
            <w:r>
              <w:rPr>
                <w:rFonts w:hint="default" w:ascii="Cambria" w:hAnsi="Cambria" w:eastAsia="SimSun" w:cs="Cambria"/>
                <w:sz w:val="18"/>
                <w:szCs w:val="18"/>
              </w:rPr>
              <w:t>Executives, Professionals &amp; High Performers</w:t>
            </w:r>
          </w:p>
        </w:tc>
        <w:tc>
          <w:tcPr>
            <w:tcW w:w="419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2F8" w:themeFill="accent1" w:themeFillTint="19"/>
            <w:vAlign w:val="top"/>
          </w:tcPr>
          <w:p w14:paraId="72391F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4" w:lineRule="auto"/>
              <w:jc w:val="center"/>
              <w:textAlignment w:val="auto"/>
              <w:rPr>
                <w:rFonts w:hint="default" w:ascii="Cambria" w:hAnsi="Cambria" w:eastAsia="SimSun" w:cs="Cambria"/>
                <w:sz w:val="18"/>
                <w:szCs w:val="18"/>
              </w:rPr>
            </w:pPr>
            <w:r>
              <w:rPr>
                <w:rFonts w:hint="default" w:ascii="Cambria" w:hAnsi="Cambria" w:eastAsia="SimSun" w:cs="Cambria"/>
                <w:sz w:val="18"/>
                <w:szCs w:val="18"/>
                <w:lang w:val="en-MY"/>
              </w:rPr>
              <w:t xml:space="preserve">Health and sustainable performance </w:t>
            </w:r>
          </w:p>
        </w:tc>
      </w:tr>
      <w:tr w14:paraId="251494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734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2F8" w:themeFill="accent1" w:themeFillTint="19"/>
            <w:vAlign w:val="top"/>
          </w:tcPr>
          <w:p w14:paraId="261560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4" w:lineRule="auto"/>
              <w:jc w:val="center"/>
              <w:textAlignment w:val="auto"/>
              <w:rPr>
                <w:rFonts w:hint="default" w:ascii="Cambria" w:hAnsi="Cambria" w:eastAsia="SimSun" w:cs="Cambria"/>
                <w:sz w:val="18"/>
                <w:szCs w:val="18"/>
              </w:rPr>
            </w:pPr>
            <w:r>
              <w:rPr>
                <w:rFonts w:hint="default" w:ascii="Cambria" w:hAnsi="Cambria" w:eastAsia="SimSun" w:cs="Cambria"/>
                <w:sz w:val="18"/>
                <w:szCs w:val="18"/>
              </w:rPr>
              <w:t>Global Communities &amp; Professional Associations</w:t>
            </w:r>
          </w:p>
        </w:tc>
        <w:tc>
          <w:tcPr>
            <w:tcW w:w="348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2F8" w:themeFill="accent1" w:themeFillTint="19"/>
            <w:vAlign w:val="top"/>
          </w:tcPr>
          <w:p w14:paraId="424BB0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4" w:lineRule="auto"/>
              <w:jc w:val="center"/>
              <w:textAlignment w:val="auto"/>
              <w:rPr>
                <w:rFonts w:hint="default" w:ascii="Cambria" w:hAnsi="Cambria" w:eastAsia="SimSun" w:cs="Cambria"/>
                <w:sz w:val="18"/>
                <w:szCs w:val="18"/>
              </w:rPr>
            </w:pPr>
            <w:r>
              <w:rPr>
                <w:rFonts w:hint="default" w:ascii="Cambria" w:hAnsi="Cambria" w:eastAsia="SimSun" w:cs="Cambria"/>
                <w:sz w:val="18"/>
                <w:szCs w:val="18"/>
              </w:rPr>
              <w:t>Multidisciplinary &amp; International Audiences</w:t>
            </w:r>
          </w:p>
        </w:tc>
        <w:tc>
          <w:tcPr>
            <w:tcW w:w="4190" w:type="dxa"/>
            <w:tcBorders>
              <w:top w:val="single" w:color="FFFFFF" w:sz="8" w:space="0"/>
              <w:left w:val="single" w:color="FFFFFF" w:sz="8" w:space="0"/>
              <w:bottom w:val="single" w:color="FFFFFF" w:sz="8" w:space="0"/>
              <w:right w:val="single" w:color="FFFFFF" w:sz="8" w:space="0"/>
            </w:tcBorders>
            <w:shd w:val="clear" w:color="auto" w:fill="EDF2F8" w:themeFill="accent1" w:themeFillTint="19"/>
            <w:vAlign w:val="top"/>
          </w:tcPr>
          <w:p w14:paraId="7EB206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4" w:lineRule="auto"/>
              <w:jc w:val="center"/>
              <w:textAlignment w:val="auto"/>
              <w:rPr>
                <w:rFonts w:hint="default" w:ascii="Cambria" w:hAnsi="Cambria" w:eastAsia="SimSun" w:cs="Cambria"/>
                <w:sz w:val="18"/>
                <w:szCs w:val="18"/>
              </w:rPr>
            </w:pPr>
            <w:r>
              <w:rPr>
                <w:rFonts w:hint="default" w:ascii="Cambria" w:hAnsi="Cambria" w:eastAsia="SimSun" w:cs="Cambria"/>
                <w:sz w:val="18"/>
                <w:szCs w:val="18"/>
              </w:rPr>
              <w:t>From Fragmented Care to Whole-Person Human Performance</w:t>
            </w:r>
          </w:p>
        </w:tc>
      </w:tr>
    </w:tbl>
    <w:p w14:paraId="4F6050F5">
      <w:pPr>
        <w:rPr>
          <w:rFonts w:hint="default" w:ascii="Cambria" w:hAnsi="Cambria" w:cs="Cambria"/>
          <w:b/>
          <w:color w:val="192D42"/>
          <w:lang w:val="en-MY"/>
        </w:rPr>
      </w:pPr>
      <w:r>
        <w:rPr>
          <w:rFonts w:hint="default" w:ascii="Cambria" w:hAnsi="Cambria" w:cs="Cambria"/>
          <w:b/>
          <w:color w:val="192D42"/>
          <w:lang w:val="en-MY"/>
        </w:rPr>
        <w:br w:type="page"/>
      </w:r>
    </w:p>
    <w:p w14:paraId="44B463BC">
      <w:pPr>
        <w:pStyle w:val="167"/>
        <w:keepNext/>
        <w:pBdr>
          <w:bottom w:val="single" w:color="B9C7D1" w:sz="6" w:space="1"/>
        </w:pBdr>
        <w:spacing w:before="100" w:after="80"/>
        <w:rPr>
          <w:rFonts w:hint="default" w:ascii="Cambria" w:hAnsi="Cambria" w:cs="Cambria"/>
        </w:rPr>
      </w:pPr>
      <w:r>
        <w:rPr>
          <w:rFonts w:hint="default" w:ascii="Cambria" w:hAnsi="Cambria" w:cs="Cambria"/>
          <w:b/>
          <w:color w:val="192D42"/>
          <w:lang w:val="en-MY"/>
        </w:rPr>
        <w:t xml:space="preserve">ANNEXURE A : BACKGROUND &amp; CREDENTIALS </w:t>
      </w:r>
    </w:p>
    <w:tbl>
      <w:tblPr>
        <w:tblStyle w:val="12"/>
        <w:tblW w:w="0" w:type="auto"/>
        <w:jc w:val="center"/>
        <w:tblBorders>
          <w:top w:val="none" w:color="FFFFFF" w:sz="0" w:space="0"/>
          <w:left w:val="none" w:color="FFFFFF" w:sz="0" w:space="0"/>
          <w:bottom w:val="none" w:color="FFFFFF" w:sz="0" w:space="0"/>
          <w:right w:val="none" w:color="FFFFFF" w:sz="0" w:space="0"/>
          <w:insideH w:val="none" w:color="FFFFFF" w:sz="0" w:space="0"/>
          <w:insideV w:val="none" w:color="FFFFFF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2"/>
        <w:gridCol w:w="1944"/>
      </w:tblGrid>
      <w:tr w14:paraId="4784418D">
        <w:tblPrEx>
          <w:tblBorders>
            <w:top w:val="none" w:color="FFFFFF" w:sz="0" w:space="0"/>
            <w:left w:val="none" w:color="FFFFFF" w:sz="0" w:space="0"/>
            <w:bottom w:val="none" w:color="FFFFFF" w:sz="0" w:space="0"/>
            <w:right w:val="none" w:color="FFFFFF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5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88C20">
            <w:pPr>
              <w:pStyle w:val="138"/>
              <w:rPr>
                <w:rFonts w:hint="default" w:ascii="Cambria" w:hAnsi="Cambria" w:cs="Cambria"/>
                <w:b/>
                <w:bCs/>
                <w:sz w:val="22"/>
                <w:szCs w:val="22"/>
              </w:rPr>
            </w:pPr>
            <w:r>
              <w:rPr>
                <w:rFonts w:hint="default" w:ascii="Cambria" w:hAnsi="Cambria" w:cs="Cambria"/>
                <w:b/>
                <w:bCs/>
                <w:sz w:val="22"/>
                <w:szCs w:val="22"/>
              </w:rPr>
              <w:t>Executive &amp; Clinical Leadership Experience</w:t>
            </w:r>
          </w:p>
          <w:p w14:paraId="5A047194">
            <w:pPr>
              <w:pStyle w:val="138"/>
              <w:rPr>
                <w:rFonts w:hint="default" w:ascii="Cambria" w:hAnsi="Cambria" w:cs="Cambria"/>
                <w:sz w:val="22"/>
                <w:szCs w:val="22"/>
              </w:rPr>
            </w:pPr>
            <w:r>
              <w:rPr>
                <w:rFonts w:hint="default" w:ascii="Cambria" w:hAnsi="Cambria" w:cs="Cambria"/>
                <w:b/>
                <w:bCs/>
                <w:sz w:val="22"/>
                <w:szCs w:val="22"/>
              </w:rPr>
              <w:t xml:space="preserve">Executive Doctor, </w:t>
            </w:r>
            <w:r>
              <w:rPr>
                <w:rFonts w:hint="default" w:ascii="Cambria" w:hAnsi="Cambria" w:cs="Cambria"/>
                <w:b/>
                <w:bCs/>
                <w:sz w:val="22"/>
                <w:szCs w:val="22"/>
                <w:lang w:val="en-MY"/>
              </w:rPr>
              <w:t>Global</w:t>
            </w:r>
            <w:r>
              <w:rPr>
                <w:rFonts w:hint="default" w:ascii="Cambria" w:hAnsi="Cambria" w:cs="Cambria"/>
                <w:b/>
                <w:bCs/>
                <w:sz w:val="22"/>
                <w:szCs w:val="22"/>
              </w:rPr>
              <w:t xml:space="preserve"> Medical Services / </w:t>
            </w:r>
          </w:p>
          <w:p w14:paraId="77861F51">
            <w:pPr>
              <w:pStyle w:val="138"/>
              <w:rPr>
                <w:rFonts w:hint="default" w:ascii="Cambria" w:hAnsi="Cambria" w:cs="Cambria"/>
                <w:b/>
                <w:bCs/>
                <w:sz w:val="24"/>
                <w:szCs w:val="24"/>
              </w:rPr>
            </w:pPr>
            <w:r>
              <w:rPr>
                <w:rFonts w:hint="default" w:ascii="Cambria" w:hAnsi="Cambria" w:cs="Cambria"/>
                <w:i/>
                <w:iCs/>
                <w:sz w:val="24"/>
                <w:szCs w:val="24"/>
              </w:rPr>
              <w:t>Allianz Partners | Singapore &amp; Regional Asia</w:t>
            </w:r>
            <w:r>
              <w:rPr>
                <w:rFonts w:hint="default" w:ascii="Cambria" w:hAnsi="Cambria" w:cs="Cambria"/>
                <w:sz w:val="24"/>
                <w:szCs w:val="24"/>
              </w:rPr>
              <w:t xml:space="preserve"> |</w:t>
            </w:r>
          </w:p>
          <w:p w14:paraId="33E3A76F">
            <w:pPr>
              <w:spacing w:after="0"/>
              <w:rPr>
                <w:rFonts w:hint="default" w:ascii="Cambria" w:hAnsi="Cambria" w:cs="Cambria"/>
                <w:sz w:val="18"/>
                <w:szCs w:val="21"/>
              </w:rPr>
            </w:pPr>
          </w:p>
        </w:tc>
        <w:tc>
          <w:tcPr>
            <w:tcW w:w="525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FB5925">
            <w:pPr>
              <w:spacing w:after="0"/>
              <w:jc w:val="right"/>
              <w:rPr>
                <w:rFonts w:hint="default" w:ascii="Cambria" w:hAnsi="Cambria" w:cs="Cambria"/>
                <w:sz w:val="18"/>
                <w:szCs w:val="21"/>
              </w:rPr>
            </w:pPr>
            <w:r>
              <w:rPr>
                <w:rFonts w:hint="default" w:ascii="Cambria" w:hAnsi="Cambria" w:cs="Cambria"/>
                <w:b/>
                <w:color w:val="5A5A5A"/>
                <w:sz w:val="18"/>
                <w:szCs w:val="22"/>
              </w:rPr>
              <w:t>2025–Present</w:t>
            </w:r>
          </w:p>
        </w:tc>
      </w:tr>
    </w:tbl>
    <w:p w14:paraId="2B4B50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24" w:line="240" w:lineRule="auto"/>
        <w:textAlignment w:val="auto"/>
        <w:rPr>
          <w:rFonts w:hint="default" w:ascii="Cambria" w:hAnsi="Cambria" w:cs="Cambria"/>
          <w:sz w:val="20"/>
          <w:szCs w:val="20"/>
        </w:rPr>
      </w:pPr>
      <w:r>
        <w:rPr>
          <w:rFonts w:hint="default" w:ascii="Cambria" w:hAnsi="Cambria" w:cs="Cambria"/>
          <w:sz w:val="20"/>
          <w:szCs w:val="20"/>
        </w:rPr>
        <w:t>•</w:t>
      </w:r>
      <w:r>
        <w:rPr>
          <w:rFonts w:hint="default" w:ascii="Cambria" w:hAnsi="Cambria" w:cs="Cambria"/>
          <w:sz w:val="20"/>
          <w:szCs w:val="20"/>
          <w:lang w:val="en-MY"/>
        </w:rPr>
        <w:t xml:space="preserve"> </w:t>
      </w:r>
      <w:r>
        <w:rPr>
          <w:rFonts w:hint="default" w:ascii="Cambria" w:hAnsi="Cambria" w:cs="Cambria"/>
          <w:sz w:val="20"/>
          <w:szCs w:val="20"/>
        </w:rPr>
        <w:t>Directs complex, high-cost international medical escalations, evaluating clinical appropriateness, treatment pathways, and</w:t>
      </w:r>
      <w:r>
        <w:rPr>
          <w:rFonts w:hint="default" w:ascii="Cambria" w:hAnsi="Cambria" w:cs="Cambria"/>
          <w:sz w:val="20"/>
          <w:szCs w:val="20"/>
          <w:lang w:val="en-MY"/>
        </w:rPr>
        <w:t xml:space="preserve"> </w:t>
      </w:r>
      <w:r>
        <w:rPr>
          <w:rFonts w:hint="default" w:ascii="Cambria" w:hAnsi="Cambria" w:cs="Cambria"/>
          <w:sz w:val="20"/>
          <w:szCs w:val="20"/>
        </w:rPr>
        <w:t>cost-effectiveness under strict time constraints.</w:t>
      </w:r>
      <w:r>
        <w:rPr>
          <w:rFonts w:hint="default" w:ascii="Cambria" w:hAnsi="Cambria" w:cs="Cambria"/>
          <w:sz w:val="20"/>
          <w:szCs w:val="20"/>
        </w:rPr>
        <w:br w:type="textWrapping"/>
      </w:r>
      <w:r>
        <w:rPr>
          <w:rFonts w:hint="default" w:ascii="Cambria" w:hAnsi="Cambria" w:cs="Cambria"/>
          <w:sz w:val="20"/>
          <w:szCs w:val="20"/>
        </w:rPr>
        <w:br w:type="textWrapping"/>
      </w:r>
      <w:r>
        <w:rPr>
          <w:rFonts w:hint="default" w:ascii="Cambria" w:hAnsi="Cambria" w:cs="Cambria"/>
          <w:sz w:val="20"/>
          <w:szCs w:val="20"/>
        </w:rPr>
        <w:t>•</w:t>
      </w:r>
      <w:r>
        <w:rPr>
          <w:rFonts w:hint="default" w:ascii="Cambria" w:hAnsi="Cambria" w:cs="Cambria"/>
          <w:sz w:val="20"/>
          <w:szCs w:val="20"/>
          <w:lang w:val="en-MY"/>
        </w:rPr>
        <w:t xml:space="preserve"> </w:t>
      </w:r>
      <w:r>
        <w:rPr>
          <w:rFonts w:hint="default" w:ascii="Cambria" w:hAnsi="Cambria" w:cs="Cambria"/>
          <w:sz w:val="20"/>
          <w:szCs w:val="20"/>
        </w:rPr>
        <w:t>Translates complex medical diagnostics into clear strategic recommendations for claims, provider networks,</w:t>
      </w:r>
      <w:r>
        <w:rPr>
          <w:rFonts w:hint="default" w:ascii="Cambria" w:hAnsi="Cambria" w:cs="Cambria"/>
          <w:sz w:val="20"/>
          <w:szCs w:val="20"/>
          <w:lang w:val="en-MY"/>
        </w:rPr>
        <w:t xml:space="preserve"> </w:t>
      </w:r>
      <w:r>
        <w:rPr>
          <w:rFonts w:hint="default" w:ascii="Cambria" w:hAnsi="Cambria" w:cs="Cambria"/>
          <w:sz w:val="20"/>
          <w:szCs w:val="20"/>
        </w:rPr>
        <w:t>operations, and executive leadership.</w:t>
      </w:r>
    </w:p>
    <w:p w14:paraId="209B89B2">
      <w:pPr>
        <w:pStyle w:val="13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720"/>
        <w:textAlignment w:val="auto"/>
        <w:rPr>
          <w:rFonts w:hint="default" w:ascii="Cambria" w:hAnsi="Cambria" w:cs="Cambria"/>
          <w:sz w:val="20"/>
          <w:szCs w:val="20"/>
        </w:rPr>
      </w:pPr>
    </w:p>
    <w:p w14:paraId="03496793">
      <w:pPr>
        <w:pStyle w:val="138"/>
        <w:keepNext w:val="0"/>
        <w:keepLines w:val="0"/>
        <w:pageBreakBefore w:val="0"/>
        <w:widowControl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Cambria" w:hAnsi="Cambria" w:cs="Cambria"/>
          <w:sz w:val="20"/>
          <w:szCs w:val="20"/>
        </w:rPr>
      </w:pPr>
      <w:r>
        <w:rPr>
          <w:rFonts w:hint="default" w:ascii="Cambria" w:hAnsi="Cambria" w:cs="Cambria"/>
          <w:sz w:val="20"/>
          <w:szCs w:val="20"/>
        </w:rPr>
        <w:t>•</w:t>
      </w:r>
      <w:r>
        <w:rPr>
          <w:rFonts w:hint="default" w:ascii="Cambria" w:hAnsi="Cambria" w:cs="Cambria"/>
          <w:sz w:val="20"/>
          <w:szCs w:val="20"/>
          <w:lang w:val="en-MY"/>
        </w:rPr>
        <w:t xml:space="preserve"> </w:t>
      </w:r>
      <w:r>
        <w:rPr>
          <w:rFonts w:hint="default" w:ascii="Cambria" w:hAnsi="Cambria" w:cs="Cambria"/>
          <w:sz w:val="20"/>
          <w:szCs w:val="20"/>
        </w:rPr>
        <w:t>Coordinates cross-border care and specialist pathways for rare and severe conditions, balancing quality of care with financial stewardship.</w:t>
      </w:r>
    </w:p>
    <w:p w14:paraId="0E7C6F84">
      <w:pPr>
        <w:pStyle w:val="14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Cambria" w:hAnsi="Cambria" w:cs="Cambria"/>
          <w:sz w:val="20"/>
          <w:szCs w:val="20"/>
        </w:rPr>
      </w:pPr>
    </w:p>
    <w:p w14:paraId="321715C5">
      <w:pPr>
        <w:pStyle w:val="138"/>
        <w:keepNext w:val="0"/>
        <w:keepLines w:val="0"/>
        <w:pageBreakBefore w:val="0"/>
        <w:widowControl/>
        <w:numPr>
          <w:numId w:val="0"/>
        </w:numPr>
        <w:tabs>
          <w:tab w:val="left" w:pos="45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Cambria" w:hAnsi="Cambria" w:cs="Cambria"/>
          <w:sz w:val="20"/>
          <w:szCs w:val="20"/>
        </w:rPr>
      </w:pPr>
      <w:r>
        <w:rPr>
          <w:rFonts w:hint="default" w:ascii="Cambria" w:hAnsi="Cambria" w:cs="Cambria"/>
          <w:sz w:val="20"/>
          <w:szCs w:val="20"/>
        </w:rPr>
        <w:t>•</w:t>
      </w:r>
      <w:r>
        <w:rPr>
          <w:rFonts w:hint="default" w:ascii="Cambria" w:hAnsi="Cambria" w:cs="Cambria"/>
          <w:sz w:val="20"/>
          <w:szCs w:val="20"/>
          <w:lang w:val="en-MY"/>
        </w:rPr>
        <w:t xml:space="preserve"> </w:t>
      </w:r>
      <w:r>
        <w:rPr>
          <w:rFonts w:hint="default" w:ascii="Cambria" w:hAnsi="Cambria" w:cs="Cambria"/>
          <w:sz w:val="20"/>
          <w:szCs w:val="20"/>
        </w:rPr>
        <w:t>Optimizes end-to-end patient journeys and communication protocols across a multinational healthcare ecosystem.</w:t>
      </w:r>
    </w:p>
    <w:p w14:paraId="3556EEAD">
      <w:pPr>
        <w:pStyle w:val="138"/>
        <w:rPr>
          <w:rFonts w:hint="default" w:ascii="Cambria" w:hAnsi="Cambria" w:cs="Cambria"/>
          <w:b/>
          <w:bCs/>
          <w:sz w:val="28"/>
          <w:szCs w:val="28"/>
        </w:rPr>
      </w:pPr>
    </w:p>
    <w:p w14:paraId="14C465AC">
      <w:pPr>
        <w:pStyle w:val="167"/>
        <w:keepNext/>
        <w:pBdr>
          <w:bottom w:val="single" w:color="B9C7D1" w:sz="6" w:space="1"/>
        </w:pBdr>
        <w:spacing w:before="100" w:after="80"/>
        <w:rPr>
          <w:rFonts w:hint="default" w:ascii="Cambria" w:hAnsi="Cambria" w:cs="Cambria"/>
          <w:lang w:val="en-MY"/>
        </w:rPr>
      </w:pPr>
      <w:r>
        <w:rPr>
          <w:rFonts w:hint="default" w:ascii="Cambria" w:hAnsi="Cambria" w:cs="Cambria"/>
          <w:b/>
          <w:color w:val="192D42"/>
        </w:rPr>
        <w:t xml:space="preserve">FOUNDER &amp; </w:t>
      </w:r>
      <w:r>
        <w:rPr>
          <w:rFonts w:hint="default" w:ascii="Cambria" w:hAnsi="Cambria" w:cs="Cambria"/>
          <w:b/>
          <w:color w:val="192D42"/>
          <w:lang w:val="en-MY"/>
        </w:rPr>
        <w:t>HOLISTIC HEALTH</w:t>
      </w:r>
    </w:p>
    <w:tbl>
      <w:tblPr>
        <w:tblStyle w:val="12"/>
        <w:tblW w:w="0" w:type="auto"/>
        <w:jc w:val="center"/>
        <w:tblBorders>
          <w:top w:val="none" w:color="FFFFFF" w:sz="0" w:space="0"/>
          <w:left w:val="none" w:color="FFFFFF" w:sz="0" w:space="0"/>
          <w:bottom w:val="none" w:color="FFFFFF" w:sz="0" w:space="0"/>
          <w:right w:val="none" w:color="FFFFFF" w:sz="0" w:space="0"/>
          <w:insideH w:val="none" w:color="FFFFFF" w:sz="0" w:space="0"/>
          <w:insideV w:val="none" w:color="FFFFFF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2"/>
        <w:gridCol w:w="1944"/>
      </w:tblGrid>
      <w:tr w14:paraId="14476F34">
        <w:tblPrEx>
          <w:tblBorders>
            <w:top w:val="none" w:color="FFFFFF" w:sz="0" w:space="0"/>
            <w:left w:val="none" w:color="FFFFFF" w:sz="0" w:space="0"/>
            <w:bottom w:val="none" w:color="FFFFFF" w:sz="0" w:space="0"/>
            <w:right w:val="none" w:color="FFFFFF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5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C89149">
            <w:pPr>
              <w:spacing w:after="0"/>
              <w:rPr>
                <w:rFonts w:hint="default" w:ascii="Cambria" w:hAnsi="Cambria" w:cs="Cambria"/>
              </w:rPr>
            </w:pPr>
            <w:r>
              <w:rPr>
                <w:rFonts w:hint="default" w:ascii="Cambria" w:hAnsi="Cambria" w:cs="Cambria"/>
                <w:b/>
                <w:color w:val="192D42"/>
                <w:sz w:val="20"/>
              </w:rPr>
              <w:t>Founder &amp;</w:t>
            </w:r>
            <w:r>
              <w:rPr>
                <w:rFonts w:hint="default" w:ascii="Cambria" w:hAnsi="Cambria" w:cs="Cambria"/>
                <w:b/>
                <w:color w:val="192D42"/>
                <w:sz w:val="20"/>
                <w:lang w:val="en-MY"/>
              </w:rPr>
              <w:t xml:space="preserve"> Lead</w:t>
            </w:r>
            <w:r>
              <w:rPr>
                <w:rFonts w:hint="default" w:ascii="Cambria" w:hAnsi="Cambria" w:cs="Cambria"/>
                <w:b/>
                <w:color w:val="192D42"/>
                <w:sz w:val="20"/>
              </w:rPr>
              <w:t xml:space="preserve"> Physician</w:t>
            </w:r>
            <w:r>
              <w:rPr>
                <w:rFonts w:hint="default" w:ascii="Cambria" w:hAnsi="Cambria" w:cs="Cambria"/>
                <w:b/>
                <w:color w:val="2B5D84"/>
                <w:sz w:val="20"/>
              </w:rPr>
              <w:t xml:space="preserve"> | Holistic Human</w:t>
            </w:r>
            <w:r>
              <w:rPr>
                <w:rFonts w:hint="default" w:ascii="Cambria" w:hAnsi="Cambria" w:cs="Cambria"/>
                <w:color w:val="5A5A5A"/>
                <w:sz w:val="17"/>
              </w:rPr>
              <w:t xml:space="preserve">  ·  Singapore </w:t>
            </w:r>
            <w:r>
              <w:rPr>
                <w:rFonts w:hint="default" w:ascii="Cambria" w:hAnsi="Cambria" w:cs="Cambria"/>
                <w:color w:val="5A5A5A"/>
                <w:sz w:val="17"/>
                <w:lang w:val="en-MY"/>
              </w:rPr>
              <w:t xml:space="preserve">|Global practice </w:t>
            </w:r>
          </w:p>
        </w:tc>
        <w:tc>
          <w:tcPr>
            <w:tcW w:w="525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54727">
            <w:pPr>
              <w:spacing w:after="0"/>
              <w:jc w:val="right"/>
              <w:rPr>
                <w:rFonts w:hint="default" w:ascii="Cambria" w:hAnsi="Cambria" w:cs="Cambria"/>
              </w:rPr>
            </w:pPr>
            <w:r>
              <w:rPr>
                <w:rFonts w:hint="default" w:ascii="Cambria" w:hAnsi="Cambria" w:cs="Cambria"/>
                <w:b/>
                <w:color w:val="5A5A5A"/>
                <w:sz w:val="18"/>
              </w:rPr>
              <w:t>2023–Present</w:t>
            </w:r>
          </w:p>
        </w:tc>
      </w:tr>
    </w:tbl>
    <w:p w14:paraId="31A18280">
      <w:pPr>
        <w:pStyle w:val="33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Cambria" w:hAnsi="Cambria" w:cs="Cambria"/>
          <w:sz w:val="20"/>
          <w:szCs w:val="20"/>
        </w:rPr>
      </w:pPr>
      <w:r>
        <w:rPr>
          <w:rFonts w:hint="default" w:ascii="Cambria" w:hAnsi="Cambria" w:cs="Cambria"/>
          <w:sz w:val="20"/>
          <w:szCs w:val="20"/>
        </w:rPr>
        <w:t>•</w:t>
      </w:r>
      <w:r>
        <w:rPr>
          <w:rFonts w:hint="default" w:ascii="Cambria" w:hAnsi="Cambria" w:cs="Cambria"/>
          <w:sz w:val="20"/>
          <w:szCs w:val="20"/>
          <w:lang w:val="en-MY"/>
        </w:rPr>
        <w:t xml:space="preserve"> </w:t>
      </w:r>
      <w:r>
        <w:rPr>
          <w:rFonts w:hint="default" w:ascii="Cambria" w:hAnsi="Cambria" w:cs="Cambria"/>
          <w:sz w:val="20"/>
          <w:szCs w:val="20"/>
        </w:rPr>
        <w:t xml:space="preserve">Founded and leads </w:t>
      </w:r>
      <w:r>
        <w:rPr>
          <w:rStyle w:val="34"/>
          <w:rFonts w:hint="default" w:ascii="Cambria" w:hAnsi="Cambria" w:cs="Cambria"/>
          <w:sz w:val="20"/>
          <w:szCs w:val="20"/>
        </w:rPr>
        <w:t>Holistic Human</w:t>
      </w:r>
      <w:r>
        <w:rPr>
          <w:rFonts w:hint="default" w:ascii="Cambria" w:hAnsi="Cambria" w:cs="Cambria"/>
          <w:sz w:val="20"/>
          <w:szCs w:val="20"/>
        </w:rPr>
        <w:t>, integrating medicine, PNEI, nervous-system regulation, behavioural change and mind–body approaches into a whole-person model for health and human performance.</w:t>
      </w:r>
    </w:p>
    <w:p w14:paraId="2F19B14F">
      <w:pPr>
        <w:pStyle w:val="33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Cambria" w:hAnsi="Cambria" w:cs="Cambria"/>
          <w:sz w:val="20"/>
          <w:szCs w:val="20"/>
        </w:rPr>
      </w:pPr>
      <w:r>
        <w:rPr>
          <w:rFonts w:hint="default" w:ascii="Cambria" w:hAnsi="Cambria" w:cs="Cambria"/>
          <w:sz w:val="20"/>
          <w:szCs w:val="20"/>
        </w:rPr>
        <w:t xml:space="preserve">• Develops and delivers </w:t>
      </w:r>
      <w:r>
        <w:rPr>
          <w:rStyle w:val="34"/>
          <w:rFonts w:hint="default" w:ascii="Cambria" w:hAnsi="Cambria" w:cs="Cambria"/>
          <w:sz w:val="20"/>
          <w:szCs w:val="20"/>
        </w:rPr>
        <w:t>keynotes, workshops, masterclasses, bootcamps and group coaching programmes</w:t>
      </w:r>
      <w:r>
        <w:rPr>
          <w:rFonts w:hint="default" w:ascii="Cambria" w:hAnsi="Cambria" w:cs="Cambria"/>
          <w:sz w:val="20"/>
          <w:szCs w:val="20"/>
        </w:rPr>
        <w:t xml:space="preserve"> on stress, burnout, chronic pain, anxiety, sleep, energy, emotional regulation and sustainable performance.</w:t>
      </w:r>
    </w:p>
    <w:p w14:paraId="76AFDA18">
      <w:pPr>
        <w:pStyle w:val="33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Cambria" w:hAnsi="Cambria" w:cs="Cambria"/>
          <w:sz w:val="20"/>
          <w:szCs w:val="20"/>
        </w:rPr>
      </w:pPr>
      <w:r>
        <w:rPr>
          <w:rFonts w:hint="default" w:ascii="Cambria" w:hAnsi="Cambria" w:cs="Cambria"/>
          <w:sz w:val="20"/>
          <w:szCs w:val="20"/>
        </w:rPr>
        <w:t xml:space="preserve">• Provides </w:t>
      </w:r>
      <w:r>
        <w:rPr>
          <w:rStyle w:val="34"/>
          <w:rFonts w:hint="default" w:ascii="Cambria" w:hAnsi="Cambria" w:cs="Cambria"/>
          <w:sz w:val="20"/>
          <w:szCs w:val="20"/>
        </w:rPr>
        <w:t>1-to-1 private coaching and whole-person consultations</w:t>
      </w:r>
      <w:r>
        <w:rPr>
          <w:rFonts w:hint="default" w:ascii="Cambria" w:hAnsi="Cambria" w:cs="Cambria"/>
          <w:sz w:val="20"/>
          <w:szCs w:val="20"/>
        </w:rPr>
        <w:t xml:space="preserve"> for executives and professionals with persistent symptoms or performance challenges, particularly when conventional approaches have not fully resolved the problem.</w:t>
      </w:r>
    </w:p>
    <w:p w14:paraId="49813140">
      <w:pPr>
        <w:pStyle w:val="33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Cambria" w:hAnsi="Cambria" w:cs="Cambria"/>
          <w:sz w:val="20"/>
          <w:szCs w:val="20"/>
        </w:rPr>
      </w:pPr>
      <w:r>
        <w:rPr>
          <w:rFonts w:hint="default" w:ascii="Cambria" w:hAnsi="Cambria" w:cs="Cambria"/>
          <w:sz w:val="20"/>
          <w:szCs w:val="20"/>
        </w:rPr>
        <w:t xml:space="preserve">• Has created </w:t>
      </w:r>
      <w:r>
        <w:rPr>
          <w:rStyle w:val="34"/>
          <w:rFonts w:hint="default" w:ascii="Cambria" w:hAnsi="Cambria" w:cs="Cambria"/>
          <w:sz w:val="20"/>
          <w:szCs w:val="20"/>
        </w:rPr>
        <w:t>20+ masterclasses, 30+ group coaching sessions and an expanding library of podcasts, newsletters and educational resources</w:t>
      </w:r>
      <w:r>
        <w:rPr>
          <w:rFonts w:hint="default" w:ascii="Cambria" w:hAnsi="Cambria" w:cs="Cambria"/>
          <w:sz w:val="20"/>
          <w:szCs w:val="20"/>
        </w:rPr>
        <w:t xml:space="preserve">, reaching clients and participants across </w:t>
      </w:r>
      <w:r>
        <w:rPr>
          <w:rStyle w:val="34"/>
          <w:rFonts w:hint="default" w:ascii="Cambria" w:hAnsi="Cambria" w:cs="Cambria"/>
          <w:sz w:val="20"/>
          <w:szCs w:val="20"/>
        </w:rPr>
        <w:t>11+ countries</w:t>
      </w:r>
      <w:r>
        <w:rPr>
          <w:rFonts w:hint="default" w:ascii="Cambria" w:hAnsi="Cambria" w:cs="Cambria"/>
          <w:sz w:val="20"/>
          <w:szCs w:val="20"/>
        </w:rPr>
        <w:t>.</w:t>
      </w:r>
    </w:p>
    <w:p w14:paraId="3C36C918">
      <w:pPr>
        <w:pStyle w:val="33"/>
        <w:keepNext w:val="0"/>
        <w:keepLines w:val="0"/>
        <w:widowControl/>
        <w:suppressLineNumbers w:val="0"/>
        <w:rPr>
          <w:rFonts w:hint="default" w:ascii="Cambria" w:hAnsi="Cambria" w:cs="Cambria"/>
          <w:sz w:val="20"/>
          <w:szCs w:val="20"/>
        </w:rPr>
      </w:pPr>
      <w:r>
        <w:rPr>
          <w:rFonts w:hint="default" w:ascii="Cambria" w:hAnsi="Cambria" w:cs="Cambria"/>
          <w:sz w:val="20"/>
          <w:szCs w:val="20"/>
        </w:rPr>
        <w:t xml:space="preserve">• Clients and participants have reported meaningful improvements in </w:t>
      </w:r>
      <w:r>
        <w:rPr>
          <w:rStyle w:val="34"/>
          <w:rFonts w:hint="default" w:ascii="Cambria" w:hAnsi="Cambria" w:cs="Cambria"/>
          <w:sz w:val="20"/>
          <w:szCs w:val="20"/>
        </w:rPr>
        <w:t>pain, anxiety, sleep, energy, emotional regulation, mental clarity and resilience</w:t>
      </w:r>
      <w:r>
        <w:rPr>
          <w:rFonts w:hint="default" w:ascii="Cambria" w:hAnsi="Cambria" w:cs="Cambria"/>
          <w:sz w:val="20"/>
          <w:szCs w:val="20"/>
        </w:rPr>
        <w:t>, while gaining a clearer understanding of how mind, body, behaviour and environment interact.</w:t>
      </w:r>
    </w:p>
    <w:p w14:paraId="78E0373F">
      <w:pPr>
        <w:pStyle w:val="167"/>
        <w:keepNext/>
        <w:pBdr>
          <w:bottom w:val="single" w:color="B9C7D1" w:sz="6" w:space="1"/>
        </w:pBdr>
        <w:spacing w:before="100" w:after="80"/>
        <w:rPr>
          <w:rFonts w:hint="default" w:ascii="Cambria" w:hAnsi="Cambria" w:cs="Cambria"/>
        </w:rPr>
      </w:pPr>
      <w:r>
        <w:rPr>
          <w:rFonts w:hint="default" w:ascii="Cambria" w:hAnsi="Cambria" w:cs="Cambria"/>
          <w:b/>
          <w:color w:val="192D42"/>
        </w:rPr>
        <w:t>SELECTED CLINICAL &amp; LEADERSHIP EXPERIENCE</w:t>
      </w:r>
    </w:p>
    <w:tbl>
      <w:tblPr>
        <w:tblStyle w:val="12"/>
        <w:tblW w:w="0" w:type="auto"/>
        <w:jc w:val="center"/>
        <w:tblBorders>
          <w:top w:val="none" w:color="FFFFFF" w:sz="0" w:space="0"/>
          <w:left w:val="none" w:color="FFFFFF" w:sz="0" w:space="0"/>
          <w:bottom w:val="none" w:color="FFFFFF" w:sz="0" w:space="0"/>
          <w:right w:val="none" w:color="FFFFFF" w:sz="0" w:space="0"/>
          <w:insideH w:val="none" w:color="FFFFFF" w:sz="0" w:space="0"/>
          <w:insideV w:val="none" w:color="FFFFFF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2"/>
        <w:gridCol w:w="1944"/>
      </w:tblGrid>
      <w:tr w14:paraId="32ECE0E4">
        <w:tblPrEx>
          <w:tblBorders>
            <w:top w:val="none" w:color="FFFFFF" w:sz="0" w:space="0"/>
            <w:left w:val="none" w:color="FFFFFF" w:sz="0" w:space="0"/>
            <w:bottom w:val="none" w:color="FFFFFF" w:sz="0" w:space="0"/>
            <w:right w:val="none" w:color="FFFFFF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5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569AC">
            <w:pPr>
              <w:spacing w:after="0"/>
              <w:rPr>
                <w:rFonts w:hint="default" w:ascii="Cambria" w:hAnsi="Cambria" w:cs="Cambria"/>
              </w:rPr>
            </w:pPr>
            <w:r>
              <w:rPr>
                <w:rFonts w:hint="default" w:ascii="Cambria" w:hAnsi="Cambria" w:cs="Cambria"/>
                <w:b/>
                <w:color w:val="192D42"/>
                <w:sz w:val="20"/>
              </w:rPr>
              <w:t>Manager, Primary Care Network</w:t>
            </w:r>
            <w:r>
              <w:rPr>
                <w:rFonts w:hint="default" w:ascii="Cambria" w:hAnsi="Cambria" w:cs="Cambria"/>
                <w:b/>
                <w:color w:val="2B5D84"/>
                <w:sz w:val="20"/>
              </w:rPr>
              <w:t xml:space="preserve"> | Raffles Medical</w:t>
            </w:r>
            <w:r>
              <w:rPr>
                <w:rFonts w:hint="default" w:ascii="Cambria" w:hAnsi="Cambria" w:cs="Cambria"/>
                <w:color w:val="5A5A5A"/>
                <w:sz w:val="17"/>
              </w:rPr>
              <w:t xml:space="preserve">  ·  Singapore</w:t>
            </w:r>
          </w:p>
        </w:tc>
        <w:tc>
          <w:tcPr>
            <w:tcW w:w="525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C71B2">
            <w:pPr>
              <w:spacing w:after="0"/>
              <w:jc w:val="right"/>
              <w:rPr>
                <w:rFonts w:hint="default" w:ascii="Cambria" w:hAnsi="Cambria" w:cs="Cambria"/>
              </w:rPr>
            </w:pPr>
            <w:r>
              <w:rPr>
                <w:rFonts w:hint="default" w:ascii="Cambria" w:hAnsi="Cambria" w:cs="Cambria"/>
                <w:b/>
                <w:color w:val="5A5A5A"/>
                <w:sz w:val="18"/>
              </w:rPr>
              <w:t>2023</w:t>
            </w:r>
          </w:p>
        </w:tc>
      </w:tr>
    </w:tbl>
    <w:p w14:paraId="59D27EB2">
      <w:pPr>
        <w:spacing w:after="30" w:line="245" w:lineRule="auto"/>
        <w:ind w:left="230" w:hanging="173"/>
        <w:rPr>
          <w:rFonts w:hint="default" w:ascii="Cambria" w:hAnsi="Cambria" w:cs="Cambria"/>
          <w:color w:val="262626"/>
          <w:sz w:val="17"/>
        </w:rPr>
      </w:pPr>
      <w:r>
        <w:rPr>
          <w:rFonts w:hint="default" w:ascii="Cambria" w:hAnsi="Cambria" w:cs="Cambria"/>
          <w:color w:val="262626"/>
          <w:sz w:val="17"/>
        </w:rPr>
        <w:t>• Supported primary-care network operations, coordination and service delivery across a corporate healthcare environment.</w:t>
      </w:r>
    </w:p>
    <w:p w14:paraId="4209FBB7">
      <w:pPr>
        <w:spacing w:after="30" w:line="245" w:lineRule="auto"/>
        <w:ind w:left="230" w:hanging="173"/>
        <w:rPr>
          <w:rFonts w:hint="default" w:ascii="Cambria" w:hAnsi="Cambria" w:cs="Cambria"/>
          <w:color w:val="262626"/>
          <w:sz w:val="17"/>
        </w:rPr>
      </w:pPr>
    </w:p>
    <w:p w14:paraId="1E363756">
      <w:pPr>
        <w:spacing w:after="30" w:line="245" w:lineRule="auto"/>
        <w:ind w:left="230" w:hanging="173"/>
        <w:rPr>
          <w:rFonts w:hint="default" w:ascii="Cambria" w:hAnsi="Cambria" w:cs="Cambria"/>
          <w:color w:val="262626"/>
          <w:sz w:val="17"/>
          <w:lang w:val="en-MY"/>
        </w:rPr>
      </w:pPr>
      <w:r>
        <w:rPr>
          <w:rFonts w:hint="default" w:ascii="Cambria" w:hAnsi="Cambria" w:cs="Cambria"/>
          <w:b/>
          <w:color w:val="192D42"/>
          <w:sz w:val="20"/>
        </w:rPr>
        <w:t>Resident Physician I / II</w:t>
      </w:r>
      <w:r>
        <w:rPr>
          <w:rFonts w:hint="default" w:ascii="Cambria" w:hAnsi="Cambria" w:cs="Cambria"/>
          <w:b/>
          <w:color w:val="2B5D84"/>
          <w:sz w:val="20"/>
        </w:rPr>
        <w:t xml:space="preserve"> | Jurong Community Hospital · Ng Teng Fong General </w:t>
      </w:r>
      <w:r>
        <w:rPr>
          <w:rFonts w:hint="default" w:ascii="Cambria" w:hAnsi="Cambria" w:cs="Cambria"/>
          <w:b/>
          <w:color w:val="2B5D84"/>
          <w:sz w:val="20"/>
          <w:lang w:val="en-MY"/>
        </w:rPr>
        <w:t xml:space="preserve">Hospital </w:t>
      </w:r>
      <w:r>
        <w:rPr>
          <w:rFonts w:hint="default" w:ascii="Cambria" w:hAnsi="Cambria" w:cs="Cambria"/>
          <w:b/>
          <w:color w:val="2B5D84"/>
          <w:sz w:val="20"/>
        </w:rPr>
        <w:t xml:space="preserve"> · </w:t>
      </w:r>
      <w:r>
        <w:rPr>
          <w:rFonts w:hint="default" w:ascii="Cambria" w:hAnsi="Cambria" w:cs="Cambria"/>
          <w:b/>
          <w:color w:val="2B5D84"/>
          <w:sz w:val="20"/>
          <w:lang w:val="en-MY"/>
        </w:rPr>
        <w:t xml:space="preserve">NUHS </w:t>
      </w:r>
      <w:r>
        <w:rPr>
          <w:rFonts w:hint="default" w:ascii="Cambria" w:hAnsi="Cambria" w:cs="Cambria"/>
          <w:color w:val="5A5A5A"/>
          <w:sz w:val="17"/>
        </w:rPr>
        <w:t xml:space="preserve"> ·</w:t>
      </w:r>
      <w:r>
        <w:rPr>
          <w:rFonts w:hint="default" w:ascii="Cambria" w:hAnsi="Cambria" w:cs="Cambria"/>
          <w:color w:val="5A5A5A"/>
          <w:sz w:val="17"/>
          <w:lang w:val="en-MY"/>
        </w:rPr>
        <w:t xml:space="preserve"> </w:t>
      </w:r>
      <w:r>
        <w:rPr>
          <w:rFonts w:hint="default" w:ascii="Cambria" w:hAnsi="Cambria" w:cs="Cambria"/>
          <w:color w:val="5A5A5A"/>
          <w:sz w:val="17"/>
        </w:rPr>
        <w:t>Singapor</w:t>
      </w:r>
      <w:r>
        <w:rPr>
          <w:rFonts w:hint="default" w:ascii="Cambria" w:hAnsi="Cambria" w:cs="Cambria"/>
          <w:color w:val="5A5A5A"/>
          <w:sz w:val="17"/>
          <w:lang w:val="en-MY"/>
        </w:rPr>
        <w:t xml:space="preserve">e  </w:t>
      </w:r>
      <w:r>
        <w:rPr>
          <w:rFonts w:hint="default" w:ascii="Cambria" w:hAnsi="Cambria" w:cs="Cambria"/>
          <w:b/>
          <w:color w:val="5A5A5A"/>
          <w:sz w:val="18"/>
        </w:rPr>
        <w:t>20</w:t>
      </w:r>
      <w:r>
        <w:rPr>
          <w:rFonts w:hint="default" w:ascii="Cambria" w:hAnsi="Cambria" w:cs="Cambria"/>
          <w:b/>
          <w:color w:val="5A5A5A"/>
          <w:sz w:val="18"/>
          <w:lang w:val="en-MY"/>
        </w:rPr>
        <w:t>16-</w:t>
      </w:r>
      <w:r>
        <w:rPr>
          <w:rFonts w:hint="default" w:ascii="Cambria" w:hAnsi="Cambria" w:cs="Cambria"/>
          <w:b/>
          <w:color w:val="5A5A5A"/>
          <w:sz w:val="18"/>
        </w:rPr>
        <w:t>2</w:t>
      </w:r>
      <w:r>
        <w:rPr>
          <w:rFonts w:hint="default" w:ascii="Cambria" w:hAnsi="Cambria" w:cs="Cambria"/>
          <w:b/>
          <w:color w:val="5A5A5A"/>
          <w:sz w:val="18"/>
          <w:lang w:val="en-MY"/>
        </w:rPr>
        <w:t>02</w:t>
      </w:r>
      <w:r>
        <w:rPr>
          <w:rFonts w:hint="default" w:ascii="Cambria" w:hAnsi="Cambria" w:cs="Cambria"/>
          <w:b/>
          <w:color w:val="5A5A5A"/>
          <w:sz w:val="18"/>
        </w:rPr>
        <w:t>3</w:t>
      </w:r>
      <w:r>
        <w:rPr>
          <w:rFonts w:hint="default" w:ascii="Cambria" w:hAnsi="Cambria" w:cs="Cambria"/>
          <w:color w:val="5A5A5A"/>
          <w:sz w:val="17"/>
          <w:lang w:val="en-MY"/>
        </w:rPr>
        <w:t xml:space="preserve">    </w:t>
      </w:r>
    </w:p>
    <w:p w14:paraId="00F63ABD">
      <w:pPr>
        <w:pStyle w:val="138"/>
        <w:numPr>
          <w:numId w:val="0"/>
        </w:numPr>
        <w:ind w:leftChars="0"/>
        <w:rPr>
          <w:rFonts w:hint="default" w:ascii="Cambria" w:hAnsi="Cambria" w:cs="Cambria"/>
          <w:sz w:val="20"/>
          <w:szCs w:val="20"/>
        </w:rPr>
      </w:pPr>
      <w:r>
        <w:rPr>
          <w:rFonts w:hint="default" w:ascii="Cambria" w:hAnsi="Cambria" w:cs="Cambria"/>
          <w:color w:val="262626"/>
          <w:sz w:val="20"/>
          <w:szCs w:val="20"/>
          <w:lang w:val="en-MY"/>
        </w:rPr>
        <w:t>•</w:t>
      </w:r>
      <w:r>
        <w:rPr>
          <w:rFonts w:hint="default" w:ascii="Cambria" w:hAnsi="Cambria" w:cs="Cambria"/>
          <w:color w:val="262626"/>
          <w:sz w:val="20"/>
          <w:szCs w:val="20"/>
        </w:rPr>
        <w:t xml:space="preserve"> </w:t>
      </w:r>
      <w:r>
        <w:rPr>
          <w:rFonts w:hint="default" w:ascii="Cambria" w:hAnsi="Cambria" w:cs="Cambria"/>
          <w:sz w:val="20"/>
          <w:szCs w:val="20"/>
        </w:rPr>
        <w:t>Managed clinical care across General Medicine, Geriatrics, Dementia Care, Neuro-Stroke Rehabilitation, Orthogeriatrics, and Emergency Medicine.</w:t>
      </w:r>
    </w:p>
    <w:p w14:paraId="709A3AD7">
      <w:pPr>
        <w:pStyle w:val="138"/>
        <w:ind w:left="720"/>
        <w:rPr>
          <w:rFonts w:hint="default" w:ascii="Cambria" w:hAnsi="Cambria" w:cs="Cambria"/>
          <w:sz w:val="20"/>
          <w:szCs w:val="20"/>
        </w:rPr>
      </w:pPr>
    </w:p>
    <w:p w14:paraId="01381A9D">
      <w:pPr>
        <w:pStyle w:val="138"/>
        <w:numPr>
          <w:numId w:val="0"/>
        </w:numPr>
        <w:tabs>
          <w:tab w:val="left" w:pos="540"/>
        </w:tabs>
        <w:ind w:leftChars="0"/>
        <w:rPr>
          <w:rFonts w:hint="default" w:ascii="Cambria" w:hAnsi="Cambria" w:cs="Cambria"/>
          <w:sz w:val="20"/>
          <w:szCs w:val="20"/>
        </w:rPr>
      </w:pPr>
      <w:r>
        <w:rPr>
          <w:rFonts w:hint="default" w:ascii="Cambria" w:hAnsi="Cambria" w:cs="Cambria"/>
          <w:sz w:val="20"/>
          <w:szCs w:val="20"/>
          <w:lang w:val="en-MY"/>
        </w:rPr>
        <w:t xml:space="preserve">• </w:t>
      </w:r>
      <w:r>
        <w:rPr>
          <w:rFonts w:hint="default" w:ascii="Cambria" w:hAnsi="Cambria" w:cs="Cambria"/>
          <w:sz w:val="20"/>
          <w:szCs w:val="20"/>
        </w:rPr>
        <w:t xml:space="preserve">Co-authored the </w:t>
      </w:r>
      <w:r>
        <w:rPr>
          <w:rFonts w:hint="default" w:ascii="Cambria" w:hAnsi="Cambria" w:cs="Cambria"/>
          <w:i/>
          <w:iCs/>
          <w:sz w:val="20"/>
          <w:szCs w:val="20"/>
        </w:rPr>
        <w:t>Jurong Community Hospital Dementia Caregiver Guidebook</w:t>
      </w:r>
      <w:r>
        <w:rPr>
          <w:rFonts w:hint="default" w:ascii="Cambria" w:hAnsi="Cambria" w:cs="Cambria"/>
          <w:sz w:val="20"/>
          <w:szCs w:val="20"/>
        </w:rPr>
        <w:t>; led quality improvement projects in dysphagia screening and advance care planning.</w:t>
      </w:r>
    </w:p>
    <w:p w14:paraId="3858BD24">
      <w:pPr>
        <w:pStyle w:val="138"/>
        <w:ind w:left="720"/>
        <w:rPr>
          <w:rFonts w:hint="default" w:ascii="Cambria" w:hAnsi="Cambria" w:cs="Cambria"/>
          <w:sz w:val="20"/>
          <w:szCs w:val="20"/>
        </w:rPr>
      </w:pPr>
    </w:p>
    <w:p w14:paraId="74B0A1D4">
      <w:pPr>
        <w:spacing w:after="22" w:line="245" w:lineRule="auto"/>
        <w:rPr>
          <w:rFonts w:hint="default" w:ascii="Cambria" w:hAnsi="Cambria" w:cs="Cambria"/>
        </w:rPr>
      </w:pPr>
      <w:r>
        <w:rPr>
          <w:rFonts w:hint="default" w:ascii="Cambria" w:hAnsi="Cambria" w:cs="Cambria"/>
          <w:sz w:val="20"/>
          <w:szCs w:val="20"/>
          <w:lang w:val="en-MY"/>
        </w:rPr>
        <w:t xml:space="preserve">• </w:t>
      </w:r>
      <w:r>
        <w:rPr>
          <w:rFonts w:hint="default" w:ascii="Cambria" w:hAnsi="Cambria" w:cs="Cambria"/>
          <w:sz w:val="20"/>
          <w:szCs w:val="20"/>
        </w:rPr>
        <w:t>Departmental leadership across medical manpower rostering, staff onboarding, clinical escalation protocols, and healthcare worker wellbeing</w:t>
      </w:r>
      <w:r>
        <w:rPr>
          <w:rFonts w:hint="default" w:ascii="Cambria" w:hAnsi="Cambria" w:cs="Cambria"/>
          <w:color w:val="262626"/>
          <w:sz w:val="20"/>
          <w:szCs w:val="20"/>
        </w:rPr>
        <w:t>.</w:t>
      </w:r>
      <w:r>
        <w:rPr>
          <w:rFonts w:hint="default" w:ascii="Cambria" w:hAnsi="Cambria" w:cs="Cambria"/>
          <w:color w:val="262626"/>
          <w:sz w:val="17"/>
        </w:rPr>
        <w:br w:type="textWrapping"/>
      </w:r>
    </w:p>
    <w:tbl>
      <w:tblPr>
        <w:tblStyle w:val="12"/>
        <w:tblW w:w="0" w:type="auto"/>
        <w:jc w:val="center"/>
        <w:tblBorders>
          <w:top w:val="none" w:color="FFFFFF" w:sz="0" w:space="0"/>
          <w:left w:val="none" w:color="FFFFFF" w:sz="0" w:space="0"/>
          <w:bottom w:val="none" w:color="FFFFFF" w:sz="0" w:space="0"/>
          <w:right w:val="none" w:color="FFFFFF" w:sz="0" w:space="0"/>
          <w:insideH w:val="none" w:color="FFFFFF" w:sz="0" w:space="0"/>
          <w:insideV w:val="none" w:color="FFFFFF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2"/>
        <w:gridCol w:w="1944"/>
      </w:tblGrid>
      <w:tr w14:paraId="67955236">
        <w:tblPrEx>
          <w:tblBorders>
            <w:top w:val="none" w:color="FFFFFF" w:sz="0" w:space="0"/>
            <w:left w:val="none" w:color="FFFFFF" w:sz="0" w:space="0"/>
            <w:bottom w:val="none" w:color="FFFFFF" w:sz="0" w:space="0"/>
            <w:right w:val="none" w:color="FFFFFF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5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9DAAC">
            <w:pPr>
              <w:spacing w:after="0"/>
              <w:rPr>
                <w:rFonts w:hint="default" w:ascii="Cambria" w:hAnsi="Cambria" w:cs="Cambria"/>
              </w:rPr>
            </w:pPr>
            <w:r>
              <w:rPr>
                <w:rFonts w:hint="default" w:ascii="Cambria" w:hAnsi="Cambria" w:cs="Cambria"/>
                <w:b/>
                <w:color w:val="192D42"/>
                <w:sz w:val="20"/>
              </w:rPr>
              <w:t>Medical Officer / General Practitioner / House Officer</w:t>
            </w:r>
            <w:r>
              <w:rPr>
                <w:rFonts w:hint="default" w:ascii="Cambria" w:hAnsi="Cambria" w:cs="Cambria"/>
                <w:b/>
                <w:color w:val="2B5D84"/>
                <w:sz w:val="20"/>
              </w:rPr>
              <w:t xml:space="preserve"> | Malaysia</w:t>
            </w:r>
            <w:r>
              <w:rPr>
                <w:rFonts w:hint="default" w:ascii="Cambria" w:hAnsi="Cambria" w:cs="Cambria"/>
                <w:color w:val="5A5A5A"/>
                <w:sz w:val="17"/>
              </w:rPr>
              <w:t xml:space="preserve">  ·  Sabah &amp; Kuala Lumpur</w:t>
            </w:r>
          </w:p>
        </w:tc>
        <w:tc>
          <w:tcPr>
            <w:tcW w:w="525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A9040">
            <w:pPr>
              <w:spacing w:after="0"/>
              <w:jc w:val="right"/>
              <w:rPr>
                <w:rFonts w:hint="default" w:ascii="Cambria" w:hAnsi="Cambria" w:cs="Cambria"/>
              </w:rPr>
            </w:pPr>
            <w:r>
              <w:rPr>
                <w:rFonts w:hint="default" w:ascii="Cambria" w:hAnsi="Cambria" w:cs="Cambria"/>
                <w:b/>
                <w:color w:val="5A5A5A"/>
                <w:sz w:val="18"/>
              </w:rPr>
              <w:t>2011–2016</w:t>
            </w:r>
          </w:p>
        </w:tc>
      </w:tr>
    </w:tbl>
    <w:p w14:paraId="0539514F">
      <w:pPr>
        <w:pStyle w:val="138"/>
        <w:numPr>
          <w:numId w:val="0"/>
        </w:numPr>
        <w:tabs>
          <w:tab w:val="left" w:pos="630"/>
        </w:tabs>
        <w:ind w:leftChars="0"/>
        <w:rPr>
          <w:sz w:val="20"/>
          <w:szCs w:val="20"/>
        </w:rPr>
      </w:pPr>
      <w:r>
        <w:rPr>
          <w:sz w:val="20"/>
          <w:szCs w:val="20"/>
          <w:lang w:val="en-MY"/>
        </w:rPr>
        <w:t>•</w:t>
      </w:r>
      <w:r>
        <w:rPr>
          <w:rFonts w:hint="default"/>
          <w:sz w:val="20"/>
          <w:szCs w:val="20"/>
          <w:lang w:val="en-MY"/>
        </w:rPr>
        <w:t xml:space="preserve"> </w:t>
      </w:r>
      <w:r>
        <w:rPr>
          <w:sz w:val="20"/>
          <w:szCs w:val="20"/>
        </w:rPr>
        <w:t>Clinical practice across Internal Medicine, Nephrology, Emergency Care, Surgery, Orthopedics, Pediatrics, and O&amp;G</w:t>
      </w:r>
      <w:r>
        <w:rPr>
          <w:rFonts w:hint="default"/>
          <w:sz w:val="20"/>
          <w:szCs w:val="20"/>
          <w:lang w:val="en-MY"/>
        </w:rPr>
        <w:t>.</w:t>
      </w:r>
    </w:p>
    <w:p w14:paraId="2ECFC570">
      <w:pPr>
        <w:spacing w:after="30" w:line="245" w:lineRule="auto"/>
        <w:rPr>
          <w:rFonts w:hint="default" w:ascii="Cambria" w:hAnsi="Cambria" w:cs="Cambria"/>
          <w:sz w:val="20"/>
          <w:szCs w:val="20"/>
        </w:rPr>
      </w:pPr>
      <w:r>
        <w:rPr>
          <w:rFonts w:hint="default" w:ascii="Cambria" w:hAnsi="Cambria" w:cs="Cambria"/>
          <w:color w:val="262626"/>
          <w:sz w:val="20"/>
          <w:szCs w:val="20"/>
        </w:rPr>
        <w:t>• Early-career service included work in Sabah and volunteering in underserved settings, shaping a practical approach to medicine where resources, l</w:t>
      </w:r>
      <w:bookmarkStart w:id="0" w:name="_GoBack"/>
      <w:bookmarkEnd w:id="0"/>
      <w:r>
        <w:rPr>
          <w:rFonts w:hint="default" w:ascii="Cambria" w:hAnsi="Cambria" w:cs="Cambria"/>
          <w:color w:val="262626"/>
          <w:sz w:val="20"/>
          <w:szCs w:val="20"/>
        </w:rPr>
        <w:t>ogistics and context matter.</w:t>
      </w:r>
      <w:r>
        <w:rPr>
          <w:rFonts w:hint="default" w:ascii="Cambria" w:hAnsi="Cambria" w:cs="Cambria"/>
          <w:color w:val="262626"/>
          <w:sz w:val="20"/>
          <w:szCs w:val="20"/>
        </w:rPr>
        <w:br w:type="textWrapping"/>
      </w:r>
    </w:p>
    <w:p w14:paraId="7CEAE013">
      <w:pPr>
        <w:pStyle w:val="167"/>
        <w:keepNext/>
        <w:pBdr>
          <w:bottom w:val="single" w:color="B9C7D1" w:sz="6" w:space="1"/>
        </w:pBdr>
        <w:spacing w:before="100" w:after="80"/>
        <w:rPr>
          <w:rFonts w:hint="default" w:ascii="Cambria" w:hAnsi="Cambria" w:cs="Cambria"/>
          <w:lang w:val="en-MY"/>
        </w:rPr>
      </w:pPr>
      <w:r>
        <w:rPr>
          <w:rFonts w:hint="default" w:ascii="Cambria" w:hAnsi="Cambria" w:cs="Cambria"/>
          <w:b/>
          <w:color w:val="192D42"/>
          <w:lang w:val="en-MY"/>
        </w:rPr>
        <w:t xml:space="preserve">Annexure B: </w:t>
      </w:r>
      <w:r>
        <w:rPr>
          <w:rFonts w:hint="default" w:ascii="Cambria" w:hAnsi="Cambria" w:cs="Cambria"/>
          <w:b/>
          <w:color w:val="192D42"/>
        </w:rPr>
        <w:t>S</w:t>
      </w:r>
      <w:r>
        <w:rPr>
          <w:rFonts w:hint="default" w:ascii="Cambria" w:hAnsi="Cambria" w:cs="Cambria"/>
          <w:b/>
          <w:color w:val="192D42"/>
          <w:lang w:val="en-MY"/>
        </w:rPr>
        <w:t>peaking, facilitation &amp; educational impact.</w:t>
      </w:r>
    </w:p>
    <w:p w14:paraId="7058B5C0">
      <w:pPr>
        <w:pStyle w:val="138"/>
        <w:numPr>
          <w:ilvl w:val="0"/>
          <w:numId w:val="7"/>
        </w:numPr>
        <w:ind w:left="360"/>
        <w:rPr>
          <w:sz w:val="20"/>
          <w:szCs w:val="20"/>
        </w:rPr>
      </w:pPr>
      <w:r>
        <w:rPr>
          <w:rFonts w:hint="default" w:ascii="Cambria" w:hAnsi="Cambria" w:cs="Cambria"/>
          <w:color w:val="262626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International Keynote &amp; Workshop Facilitator:</w:t>
      </w:r>
      <w:r>
        <w:rPr>
          <w:sz w:val="20"/>
          <w:szCs w:val="20"/>
        </w:rPr>
        <w:t xml:space="preserve"> Speaker across Singapore, Taiwan, and Malaysia on healthspan, stress resilience, and human performance.</w:t>
      </w:r>
    </w:p>
    <w:p w14:paraId="6C251F86">
      <w:pPr>
        <w:pStyle w:val="138"/>
        <w:ind w:left="360"/>
        <w:rPr>
          <w:sz w:val="20"/>
          <w:szCs w:val="20"/>
        </w:rPr>
      </w:pPr>
    </w:p>
    <w:p w14:paraId="16418349">
      <w:pPr>
        <w:pStyle w:val="138"/>
        <w:numPr>
          <w:ilvl w:val="0"/>
          <w:numId w:val="7"/>
        </w:numPr>
        <w:tabs>
          <w:tab w:val="left" w:pos="450"/>
          <w:tab w:val="clear" w:pos="720"/>
        </w:tabs>
        <w:ind w:left="450" w:hanging="450"/>
        <w:rPr>
          <w:sz w:val="20"/>
          <w:szCs w:val="20"/>
        </w:rPr>
      </w:pPr>
      <w:r>
        <w:rPr>
          <w:b/>
          <w:bCs/>
          <w:sz w:val="20"/>
          <w:szCs w:val="20"/>
        </w:rPr>
        <w:t>Corporate &amp; Health Leadership Trainer:</w:t>
      </w:r>
      <w:r>
        <w:rPr>
          <w:sz w:val="20"/>
          <w:szCs w:val="20"/>
        </w:rPr>
        <w:t xml:space="preserve"> Featured Trainer for </w:t>
      </w:r>
      <w:r>
        <w:rPr>
          <w:i/>
          <w:iCs/>
          <w:sz w:val="20"/>
          <w:szCs w:val="20"/>
        </w:rPr>
        <w:t>Malaysia National Training Week (2024)</w:t>
      </w:r>
      <w:r>
        <w:rPr>
          <w:sz w:val="20"/>
          <w:szCs w:val="20"/>
        </w:rPr>
        <w:t>.</w:t>
      </w:r>
      <w:r>
        <w:rPr>
          <w:sz w:val="20"/>
          <w:szCs w:val="20"/>
        </w:rPr>
        <w:br w:type="textWrapping"/>
      </w:r>
    </w:p>
    <w:p w14:paraId="21D6FB0B">
      <w:pPr>
        <w:pStyle w:val="138"/>
        <w:numPr>
          <w:ilvl w:val="0"/>
          <w:numId w:val="7"/>
        </w:numPr>
        <w:tabs>
          <w:tab w:val="left" w:pos="450"/>
          <w:tab w:val="clear" w:pos="720"/>
        </w:tabs>
        <w:ind w:left="450" w:hanging="450"/>
        <w:rPr>
          <w:sz w:val="20"/>
          <w:szCs w:val="20"/>
        </w:rPr>
      </w:pPr>
      <w:r>
        <w:rPr>
          <w:b/>
          <w:bCs/>
          <w:sz w:val="20"/>
          <w:szCs w:val="20"/>
        </w:rPr>
        <w:t>Communication Credentials:</w:t>
      </w:r>
      <w:r>
        <w:rPr>
          <w:sz w:val="20"/>
          <w:szCs w:val="20"/>
        </w:rPr>
        <w:t xml:space="preserve"> Competent Communicator Award, </w:t>
      </w:r>
      <w:r>
        <w:rPr>
          <w:i/>
          <w:iCs/>
          <w:sz w:val="20"/>
          <w:szCs w:val="20"/>
        </w:rPr>
        <w:t xml:space="preserve">Toastmasters </w:t>
      </w:r>
    </w:p>
    <w:p w14:paraId="4D33F8E3">
      <w:pPr>
        <w:pStyle w:val="138"/>
        <w:ind w:left="720"/>
        <w:rPr>
          <w:sz w:val="20"/>
          <w:szCs w:val="20"/>
        </w:rPr>
      </w:pPr>
    </w:p>
    <w:p w14:paraId="6A564DBA">
      <w:pPr>
        <w:pStyle w:val="138"/>
        <w:numPr>
          <w:ilvl w:val="0"/>
          <w:numId w:val="7"/>
        </w:numPr>
        <w:tabs>
          <w:tab w:val="left" w:pos="450"/>
          <w:tab w:val="clear" w:pos="720"/>
        </w:tabs>
        <w:ind w:hanging="720"/>
        <w:rPr>
          <w:sz w:val="20"/>
          <w:szCs w:val="20"/>
        </w:rPr>
      </w:pPr>
      <w:r>
        <w:rPr>
          <w:b/>
          <w:bCs/>
          <w:sz w:val="20"/>
          <w:szCs w:val="20"/>
        </w:rPr>
        <w:t>Academic &amp; Clinical Educator:</w:t>
      </w:r>
    </w:p>
    <w:p w14:paraId="6847FFF1">
      <w:pPr>
        <w:pStyle w:val="138"/>
        <w:ind w:left="720"/>
        <w:rPr>
          <w:sz w:val="20"/>
          <w:szCs w:val="20"/>
        </w:rPr>
      </w:pPr>
    </w:p>
    <w:p w14:paraId="0BF0B9FB">
      <w:pPr>
        <w:pStyle w:val="138"/>
        <w:numPr>
          <w:ilvl w:val="1"/>
          <w:numId w:val="7"/>
        </w:numPr>
        <w:ind w:left="900" w:hanging="450"/>
        <w:rPr>
          <w:sz w:val="20"/>
          <w:szCs w:val="20"/>
        </w:rPr>
      </w:pPr>
      <w:r>
        <w:rPr>
          <w:sz w:val="20"/>
          <w:szCs w:val="20"/>
        </w:rPr>
        <w:t xml:space="preserve">Tutor, </w:t>
      </w:r>
      <w:r>
        <w:rPr>
          <w:i/>
          <w:iCs/>
          <w:sz w:val="20"/>
          <w:szCs w:val="20"/>
        </w:rPr>
        <w:t>National Collaborative Prescribing Guidelines</w:t>
      </w:r>
      <w:r>
        <w:rPr>
          <w:sz w:val="20"/>
          <w:szCs w:val="20"/>
        </w:rPr>
        <w:t>, Singapore.</w:t>
      </w:r>
    </w:p>
    <w:p w14:paraId="2D1B8AC2">
      <w:pPr>
        <w:pStyle w:val="138"/>
        <w:numPr>
          <w:ilvl w:val="1"/>
          <w:numId w:val="7"/>
        </w:numPr>
        <w:ind w:left="990" w:hanging="540"/>
        <w:rPr>
          <w:sz w:val="20"/>
          <w:szCs w:val="20"/>
        </w:rPr>
      </w:pPr>
      <w:r>
        <w:rPr>
          <w:sz w:val="20"/>
          <w:szCs w:val="20"/>
        </w:rPr>
        <w:t xml:space="preserve">Facilitator / Tutor, </w:t>
      </w:r>
      <w:r>
        <w:rPr>
          <w:i/>
          <w:iCs/>
          <w:sz w:val="20"/>
          <w:szCs w:val="20"/>
        </w:rPr>
        <w:t>NUHS Longitudinal Patient Experience Programme</w:t>
      </w:r>
      <w:r>
        <w:rPr>
          <w:sz w:val="20"/>
          <w:szCs w:val="20"/>
        </w:rPr>
        <w:t xml:space="preserve"> (2021, 2023).</w:t>
      </w:r>
    </w:p>
    <w:p w14:paraId="14A6ED46">
      <w:pPr>
        <w:pStyle w:val="138"/>
        <w:numPr>
          <w:ilvl w:val="1"/>
          <w:numId w:val="7"/>
        </w:numPr>
        <w:ind w:left="990" w:hanging="540"/>
        <w:rPr>
          <w:sz w:val="20"/>
          <w:szCs w:val="20"/>
        </w:rPr>
      </w:pPr>
      <w:r>
        <w:rPr>
          <w:sz w:val="20"/>
          <w:szCs w:val="20"/>
        </w:rPr>
        <w:t xml:space="preserve">Co-Presenter, </w:t>
      </w:r>
      <w:r>
        <w:rPr>
          <w:i/>
          <w:iCs/>
          <w:sz w:val="20"/>
          <w:szCs w:val="20"/>
        </w:rPr>
        <w:t>Nursing Symposium</w:t>
      </w:r>
      <w:r>
        <w:rPr>
          <w:sz w:val="20"/>
          <w:szCs w:val="20"/>
        </w:rPr>
        <w:t>: "Developing Resilience for Health and Well-Being of Nurses" (2017).</w:t>
      </w:r>
    </w:p>
    <w:p w14:paraId="62E96421">
      <w:pPr>
        <w:pStyle w:val="138"/>
        <w:numPr>
          <w:ilvl w:val="1"/>
          <w:numId w:val="7"/>
        </w:numPr>
        <w:ind w:left="990" w:hanging="540"/>
        <w:rPr>
          <w:sz w:val="20"/>
          <w:szCs w:val="20"/>
        </w:rPr>
      </w:pPr>
      <w:r>
        <w:rPr>
          <w:sz w:val="20"/>
          <w:szCs w:val="20"/>
        </w:rPr>
        <w:t xml:space="preserve">Presenter, </w:t>
      </w:r>
      <w:r>
        <w:rPr>
          <w:i/>
          <w:iCs/>
          <w:sz w:val="20"/>
          <w:szCs w:val="20"/>
        </w:rPr>
        <w:t>JurongHealth Campus Book Club</w:t>
      </w:r>
      <w:r>
        <w:rPr>
          <w:sz w:val="20"/>
          <w:szCs w:val="20"/>
        </w:rPr>
        <w:t xml:space="preserve"> (</w:t>
      </w:r>
      <w:r>
        <w:rPr>
          <w:i/>
          <w:iCs/>
          <w:sz w:val="20"/>
          <w:szCs w:val="20"/>
        </w:rPr>
        <w:t>Atomic Habits</w:t>
      </w:r>
      <w:r>
        <w:rPr>
          <w:sz w:val="20"/>
          <w:szCs w:val="20"/>
        </w:rPr>
        <w:t xml:space="preserve"> by James Clear—awarded commendation from hospital leadership).</w:t>
      </w:r>
    </w:p>
    <w:p w14:paraId="11470236">
      <w:pPr>
        <w:spacing w:after="24" w:line="245" w:lineRule="auto"/>
        <w:ind w:left="230" w:hanging="173"/>
        <w:rPr>
          <w:rFonts w:hint="default" w:ascii="Cambria" w:hAnsi="Cambria" w:cs="Cambria"/>
        </w:rPr>
      </w:pPr>
    </w:p>
    <w:p w14:paraId="7A4E7A00">
      <w:pPr>
        <w:pStyle w:val="167"/>
        <w:keepNext/>
        <w:pBdr>
          <w:bottom w:val="single" w:color="B9C7D1" w:sz="6" w:space="1"/>
        </w:pBdr>
        <w:spacing w:before="100" w:after="80"/>
        <w:rPr>
          <w:rFonts w:hint="default" w:ascii="Cambria" w:hAnsi="Cambria" w:cs="Cambria"/>
        </w:rPr>
      </w:pPr>
      <w:r>
        <w:rPr>
          <w:rFonts w:hint="default" w:ascii="Cambria" w:hAnsi="Cambria" w:cs="Cambria"/>
          <w:b/>
          <w:color w:val="192D42"/>
          <w:lang w:val="en-MY"/>
        </w:rPr>
        <w:t xml:space="preserve">Annexure C: Qualification, Award and Personal Profile </w:t>
      </w:r>
    </w:p>
    <w:tbl>
      <w:tblPr>
        <w:tblStyle w:val="12"/>
        <w:tblW w:w="0" w:type="auto"/>
        <w:jc w:val="center"/>
        <w:tblBorders>
          <w:top w:val="none" w:color="FFFFFF" w:sz="0" w:space="0"/>
          <w:left w:val="none" w:color="FFFFFF" w:sz="0" w:space="0"/>
          <w:bottom w:val="none" w:color="FFFFFF" w:sz="0" w:space="0"/>
          <w:right w:val="none" w:color="FFFFFF" w:sz="0" w:space="0"/>
          <w:insideH w:val="none" w:color="FFFFFF" w:sz="0" w:space="0"/>
          <w:insideV w:val="none" w:color="FFFFFF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84"/>
        <w:gridCol w:w="5184"/>
      </w:tblGrid>
      <w:tr w14:paraId="437C93E0">
        <w:tblPrEx>
          <w:tblBorders>
            <w:top w:val="none" w:color="FFFFFF" w:sz="0" w:space="0"/>
            <w:left w:val="none" w:color="FFFFFF" w:sz="0" w:space="0"/>
            <w:bottom w:val="none" w:color="FFFFFF" w:sz="0" w:space="0"/>
            <w:right w:val="none" w:color="FFFFFF" w:sz="0" w:space="0"/>
            <w:insideH w:val="none" w:color="FFFFFF" w:sz="0" w:space="0"/>
            <w:insideV w:val="none" w:color="FFFFFF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256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75A120EC">
            <w:pPr>
              <w:spacing w:after="40"/>
              <w:rPr>
                <w:rFonts w:hint="default" w:ascii="Cambria" w:hAnsi="Cambria" w:cs="Cambria"/>
                <w:sz w:val="20"/>
                <w:szCs w:val="24"/>
              </w:rPr>
            </w:pPr>
            <w:r>
              <w:rPr>
                <w:rFonts w:hint="default" w:ascii="Cambria" w:hAnsi="Cambria" w:cs="Cambria"/>
                <w:b/>
                <w:color w:val="192D42"/>
                <w:sz w:val="18"/>
                <w:szCs w:val="24"/>
              </w:rPr>
              <w:t xml:space="preserve">Medical Degree: </w:t>
            </w:r>
            <w:r>
              <w:rPr>
                <w:rFonts w:hint="default" w:ascii="Cambria" w:hAnsi="Cambria" w:cs="Cambria"/>
                <w:sz w:val="18"/>
                <w:szCs w:val="24"/>
              </w:rPr>
              <w:t>National University of Malaysia (UKM), 2011</w:t>
            </w:r>
          </w:p>
          <w:p w14:paraId="693D0E05">
            <w:pPr>
              <w:spacing w:after="40"/>
              <w:rPr>
                <w:rFonts w:hint="default" w:ascii="Cambria" w:hAnsi="Cambria" w:cs="Cambria"/>
                <w:sz w:val="20"/>
                <w:szCs w:val="24"/>
              </w:rPr>
            </w:pPr>
            <w:r>
              <w:rPr>
                <w:rFonts w:hint="default" w:ascii="Cambria" w:hAnsi="Cambria" w:cs="Cambria"/>
                <w:b/>
                <w:color w:val="192D42"/>
                <w:sz w:val="18"/>
                <w:szCs w:val="24"/>
              </w:rPr>
              <w:t xml:space="preserve">MRCP(UK): </w:t>
            </w:r>
            <w:r>
              <w:rPr>
                <w:rFonts w:hint="default" w:ascii="Cambria" w:hAnsi="Cambria" w:cs="Cambria"/>
                <w:sz w:val="18"/>
                <w:szCs w:val="24"/>
              </w:rPr>
              <w:t>Royal College of Physicians, United Kingdom, 2018</w:t>
            </w:r>
          </w:p>
          <w:p w14:paraId="558CD4AC">
            <w:pPr>
              <w:spacing w:after="40"/>
              <w:rPr>
                <w:rFonts w:hint="default" w:ascii="Cambria" w:hAnsi="Cambria" w:cs="Cambria"/>
                <w:sz w:val="18"/>
                <w:szCs w:val="24"/>
              </w:rPr>
            </w:pPr>
            <w:r>
              <w:rPr>
                <w:rFonts w:hint="default" w:ascii="Cambria" w:hAnsi="Cambria" w:cs="Cambria"/>
                <w:b/>
                <w:color w:val="192D42"/>
                <w:sz w:val="18"/>
                <w:szCs w:val="24"/>
              </w:rPr>
              <w:t xml:space="preserve">Graduate Diploma in Family Medicine: </w:t>
            </w:r>
            <w:r>
              <w:rPr>
                <w:rFonts w:hint="default" w:ascii="Cambria" w:hAnsi="Cambria" w:cs="Cambria"/>
                <w:sz w:val="18"/>
                <w:szCs w:val="24"/>
              </w:rPr>
              <w:t>Singapore, 2022</w:t>
            </w:r>
          </w:p>
          <w:p w14:paraId="7D3EC33E">
            <w:pPr>
              <w:spacing w:after="40"/>
              <w:rPr>
                <w:rFonts w:hint="default" w:ascii="Cambria" w:hAnsi="Cambria" w:cs="Cambria"/>
                <w:b/>
                <w:bCs/>
                <w:sz w:val="18"/>
                <w:szCs w:val="24"/>
                <w:lang w:val="en-MY"/>
              </w:rPr>
            </w:pPr>
            <w:r>
              <w:rPr>
                <w:rFonts w:hint="default" w:ascii="Cambria" w:hAnsi="Cambria" w:cs="Cambria"/>
                <w:b/>
                <w:bCs/>
                <w:sz w:val="18"/>
                <w:szCs w:val="24"/>
                <w:lang w:val="en-MY"/>
              </w:rPr>
              <w:t xml:space="preserve">Hypnobirthing Trainer </w:t>
            </w:r>
            <w:r>
              <w:rPr>
                <w:rFonts w:hint="default" w:ascii="Cambria" w:hAnsi="Cambria" w:cs="Cambria"/>
                <w:b w:val="0"/>
                <w:bCs w:val="0"/>
                <w:sz w:val="18"/>
                <w:szCs w:val="24"/>
                <w:lang w:val="en-MY"/>
              </w:rPr>
              <w:t>(Marie Mongan Method)</w:t>
            </w:r>
            <w:r>
              <w:rPr>
                <w:rFonts w:hint="default" w:ascii="Cambria" w:hAnsi="Cambria" w:cs="Cambria"/>
                <w:b/>
                <w:bCs/>
                <w:sz w:val="18"/>
                <w:szCs w:val="24"/>
                <w:lang w:val="en-MY"/>
              </w:rPr>
              <w:t xml:space="preserve"> </w:t>
            </w:r>
            <w:r>
              <w:rPr>
                <w:rFonts w:hint="default" w:ascii="Cambria" w:hAnsi="Cambria" w:cs="Cambria"/>
                <w:b w:val="0"/>
                <w:bCs w:val="0"/>
                <w:sz w:val="18"/>
                <w:szCs w:val="24"/>
                <w:lang w:val="en-MY"/>
              </w:rPr>
              <w:t>2016</w:t>
            </w:r>
          </w:p>
        </w:tc>
        <w:tc>
          <w:tcPr>
            <w:tcW w:w="5256" w:type="dxa"/>
            <w:tcMar>
              <w:top w:w="0" w:type="dxa"/>
              <w:left w:w="0" w:type="dxa"/>
              <w:bottom w:w="0" w:type="dxa"/>
              <w:right w:w="120" w:type="dxa"/>
            </w:tcMar>
          </w:tcPr>
          <w:p w14:paraId="28E4FE26">
            <w:pPr>
              <w:spacing w:after="40"/>
              <w:rPr>
                <w:rFonts w:hint="default" w:ascii="Cambria" w:hAnsi="Cambria" w:cs="Cambria"/>
                <w:sz w:val="20"/>
                <w:szCs w:val="24"/>
              </w:rPr>
            </w:pPr>
            <w:r>
              <w:rPr>
                <w:rFonts w:hint="default" w:ascii="Cambria" w:hAnsi="Cambria" w:cs="Cambria"/>
                <w:b/>
                <w:color w:val="192D42"/>
                <w:sz w:val="18"/>
                <w:szCs w:val="24"/>
              </w:rPr>
              <w:t xml:space="preserve">Medical Certificate in Clinical Hypnosis: </w:t>
            </w:r>
            <w:r>
              <w:rPr>
                <w:rFonts w:hint="default" w:ascii="Cambria" w:hAnsi="Cambria" w:cs="Cambria"/>
                <w:sz w:val="18"/>
                <w:szCs w:val="24"/>
              </w:rPr>
              <w:t>London College of Clinical Hypnosis, 2016</w:t>
            </w:r>
          </w:p>
          <w:p w14:paraId="5B759E45">
            <w:pPr>
              <w:spacing w:after="40"/>
              <w:rPr>
                <w:rFonts w:hint="default" w:ascii="Cambria" w:hAnsi="Cambria" w:cs="Cambria"/>
                <w:sz w:val="20"/>
                <w:szCs w:val="24"/>
              </w:rPr>
            </w:pPr>
            <w:r>
              <w:rPr>
                <w:rFonts w:hint="default" w:ascii="Cambria" w:hAnsi="Cambria" w:cs="Cambria"/>
                <w:b/>
                <w:color w:val="192D42"/>
                <w:sz w:val="18"/>
                <w:szCs w:val="24"/>
              </w:rPr>
              <w:t xml:space="preserve">Acupuncture Training: </w:t>
            </w:r>
            <w:r>
              <w:rPr>
                <w:rFonts w:hint="default" w:ascii="Cambria" w:hAnsi="Cambria" w:cs="Cambria"/>
                <w:sz w:val="18"/>
                <w:szCs w:val="24"/>
              </w:rPr>
              <w:t>TAMA Academy Malaysia, 2014–2015</w:t>
            </w:r>
          </w:p>
          <w:p w14:paraId="777759A5">
            <w:pPr>
              <w:spacing w:after="40"/>
              <w:rPr>
                <w:rFonts w:hint="default" w:ascii="Cambria" w:hAnsi="Cambria" w:cs="Cambria"/>
                <w:sz w:val="20"/>
                <w:szCs w:val="24"/>
                <w:lang w:val="en-MY"/>
              </w:rPr>
            </w:pPr>
            <w:r>
              <w:rPr>
                <w:rFonts w:hint="default" w:ascii="Cambria" w:hAnsi="Cambria" w:cs="Cambria"/>
                <w:b/>
                <w:color w:val="192D42"/>
                <w:sz w:val="18"/>
                <w:szCs w:val="24"/>
              </w:rPr>
              <w:t xml:space="preserve">Leadership / Communication: </w:t>
            </w:r>
            <w:r>
              <w:rPr>
                <w:rFonts w:hint="default" w:ascii="Cambria" w:hAnsi="Cambria" w:cs="Cambria"/>
                <w:sz w:val="18"/>
                <w:szCs w:val="24"/>
              </w:rPr>
              <w:t>High Stakes Interactions, Five Choices™, Arbinger WeCare, DISC</w:t>
            </w:r>
            <w:r>
              <w:rPr>
                <w:rFonts w:hint="default" w:ascii="Cambria" w:hAnsi="Cambria" w:cs="Cambria"/>
                <w:sz w:val="18"/>
                <w:szCs w:val="24"/>
                <w:lang w:val="en-MY"/>
              </w:rPr>
              <w:t xml:space="preserve"> behavioural profiling</w:t>
            </w:r>
          </w:p>
        </w:tc>
      </w:tr>
    </w:tbl>
    <w:p w14:paraId="2838EF28">
      <w:pPr>
        <w:pStyle w:val="167"/>
        <w:keepNext/>
        <w:pBdr>
          <w:bottom w:val="single" w:color="B9C7D1" w:sz="6" w:space="1"/>
        </w:pBdr>
        <w:spacing w:before="100" w:after="80"/>
        <w:rPr>
          <w:rFonts w:hint="default" w:ascii="Cambria" w:hAnsi="Cambria" w:cs="Cambria"/>
        </w:rPr>
      </w:pPr>
      <w:r>
        <w:rPr>
          <w:rFonts w:hint="default" w:ascii="Cambria" w:hAnsi="Cambria" w:cs="Cambria"/>
          <w:b/>
          <w:color w:val="192D42"/>
        </w:rPr>
        <w:t>A</w:t>
      </w:r>
      <w:r>
        <w:rPr>
          <w:rFonts w:hint="default" w:ascii="Cambria" w:hAnsi="Cambria" w:cs="Cambria"/>
          <w:b/>
          <w:color w:val="192D42"/>
          <w:lang w:val="en-MY"/>
        </w:rPr>
        <w:t>wards &amp;</w:t>
      </w:r>
      <w:r>
        <w:rPr>
          <w:rFonts w:hint="default" w:ascii="Cambria" w:hAnsi="Cambria" w:cs="Cambria"/>
          <w:b/>
          <w:color w:val="192D42"/>
        </w:rPr>
        <w:t xml:space="preserve"> S</w:t>
      </w:r>
      <w:r>
        <w:rPr>
          <w:rFonts w:hint="default" w:ascii="Cambria" w:hAnsi="Cambria" w:cs="Cambria"/>
          <w:b/>
          <w:color w:val="192D42"/>
          <w:lang w:val="en-MY"/>
        </w:rPr>
        <w:t>ervice</w:t>
      </w:r>
      <w:r>
        <w:rPr>
          <w:rFonts w:hint="default" w:ascii="Cambria" w:hAnsi="Cambria" w:cs="Cambria"/>
          <w:b/>
          <w:color w:val="192D42"/>
        </w:rPr>
        <w:t xml:space="preserve"> </w:t>
      </w:r>
    </w:p>
    <w:p w14:paraId="35A3D5AD">
      <w:pPr>
        <w:spacing w:after="24" w:line="245" w:lineRule="auto"/>
        <w:ind w:left="230" w:hanging="173"/>
        <w:rPr>
          <w:rFonts w:hint="default" w:ascii="Cambria" w:hAnsi="Cambria" w:cs="Cambria"/>
          <w:color w:val="262626"/>
          <w:sz w:val="20"/>
          <w:szCs w:val="28"/>
        </w:rPr>
      </w:pPr>
      <w:r>
        <w:rPr>
          <w:rFonts w:hint="default" w:ascii="Cambria" w:hAnsi="Cambria" w:cs="Cambria"/>
          <w:color w:val="262626"/>
          <w:sz w:val="20"/>
          <w:szCs w:val="28"/>
        </w:rPr>
        <w:t>• AIC Community Care Excellence Award (2020);</w:t>
      </w:r>
    </w:p>
    <w:p w14:paraId="2D22AD6A">
      <w:pPr>
        <w:spacing w:after="24" w:line="245" w:lineRule="auto"/>
        <w:ind w:left="230" w:hanging="173"/>
        <w:rPr>
          <w:rFonts w:hint="default" w:ascii="Cambria" w:hAnsi="Cambria" w:cs="Cambria"/>
          <w:sz w:val="21"/>
          <w:szCs w:val="28"/>
        </w:rPr>
      </w:pPr>
      <w:r>
        <w:rPr>
          <w:rFonts w:hint="default" w:ascii="Cambria" w:hAnsi="Cambria" w:cs="Cambria"/>
          <w:color w:val="262626"/>
          <w:sz w:val="20"/>
          <w:szCs w:val="28"/>
        </w:rPr>
        <w:t>•</w:t>
      </w:r>
      <w:r>
        <w:rPr>
          <w:rFonts w:hint="default" w:ascii="Cambria" w:hAnsi="Cambria" w:cs="Cambria"/>
          <w:color w:val="262626"/>
          <w:sz w:val="20"/>
          <w:szCs w:val="28"/>
          <w:lang w:val="en-MY"/>
        </w:rPr>
        <w:t xml:space="preserve"> </w:t>
      </w:r>
      <w:r>
        <w:rPr>
          <w:rFonts w:hint="default" w:ascii="Cambria" w:hAnsi="Cambria" w:cs="Cambria"/>
          <w:color w:val="262626"/>
          <w:sz w:val="20"/>
          <w:szCs w:val="28"/>
        </w:rPr>
        <w:t>JurongHealth Service Quality Award — Silver (2019).</w:t>
      </w:r>
    </w:p>
    <w:p w14:paraId="32472CA7">
      <w:pPr>
        <w:spacing w:after="24" w:line="245" w:lineRule="auto"/>
        <w:ind w:left="230" w:hanging="173"/>
        <w:rPr>
          <w:rFonts w:hint="default" w:ascii="Cambria" w:hAnsi="Cambria" w:cs="Cambria"/>
          <w:color w:val="262626"/>
          <w:sz w:val="20"/>
          <w:szCs w:val="28"/>
        </w:rPr>
      </w:pPr>
      <w:r>
        <w:rPr>
          <w:rFonts w:hint="default" w:ascii="Cambria" w:hAnsi="Cambria" w:cs="Cambria"/>
          <w:color w:val="262626"/>
          <w:sz w:val="20"/>
          <w:szCs w:val="28"/>
        </w:rPr>
        <w:t>•</w:t>
      </w:r>
      <w:r>
        <w:rPr>
          <w:rFonts w:hint="default" w:ascii="Cambria" w:hAnsi="Cambria" w:cs="Cambria"/>
          <w:color w:val="262626"/>
          <w:sz w:val="20"/>
          <w:szCs w:val="28"/>
          <w:lang w:val="en-MY"/>
        </w:rPr>
        <w:t xml:space="preserve"> Global humanitation work: </w:t>
      </w:r>
      <w:r>
        <w:rPr>
          <w:rFonts w:hint="default" w:ascii="Cambria" w:hAnsi="Cambria" w:cs="Cambria"/>
          <w:color w:val="262626"/>
          <w:sz w:val="20"/>
          <w:szCs w:val="28"/>
        </w:rPr>
        <w:t xml:space="preserve"> Volunteer medical </w:t>
      </w:r>
      <w:r>
        <w:rPr>
          <w:rFonts w:hint="default" w:ascii="Cambria" w:hAnsi="Cambria" w:cs="Cambria"/>
          <w:color w:val="262626"/>
          <w:sz w:val="20"/>
          <w:szCs w:val="28"/>
          <w:lang w:val="en-MY"/>
        </w:rPr>
        <w:t>s</w:t>
      </w:r>
      <w:r>
        <w:rPr>
          <w:rFonts w:hint="default" w:ascii="Cambria" w:hAnsi="Cambria" w:cs="Cambria"/>
          <w:color w:val="262626"/>
          <w:sz w:val="20"/>
          <w:szCs w:val="28"/>
        </w:rPr>
        <w:t>creening activities in Malaysia and Chile; conservation volunteering in marine and river ecosystems.</w:t>
      </w:r>
    </w:p>
    <w:p w14:paraId="4E36E761">
      <w:pPr>
        <w:spacing w:after="24" w:line="245" w:lineRule="auto"/>
        <w:ind w:left="230" w:hanging="173"/>
        <w:rPr>
          <w:rFonts w:hint="default" w:ascii="Cambria" w:hAnsi="Cambria" w:cs="Cambria"/>
          <w:color w:val="262626"/>
          <w:sz w:val="17"/>
        </w:rPr>
      </w:pPr>
    </w:p>
    <w:p w14:paraId="0108C0D2">
      <w:pPr>
        <w:pStyle w:val="167"/>
        <w:keepNext/>
        <w:pBdr>
          <w:bottom w:val="single" w:color="B9C7D1" w:sz="6" w:space="1"/>
        </w:pBdr>
        <w:spacing w:before="100" w:after="80"/>
        <w:rPr>
          <w:rFonts w:hint="default" w:ascii="Cambria" w:hAnsi="Cambria" w:cs="Cambria"/>
        </w:rPr>
      </w:pPr>
      <w:r>
        <w:rPr>
          <w:rFonts w:hint="default" w:ascii="Cambria" w:hAnsi="Cambria" w:cs="Cambria"/>
          <w:b/>
          <w:color w:val="192D42"/>
          <w:lang w:val="en-MY"/>
        </w:rPr>
        <w:t xml:space="preserve">Languages </w:t>
      </w:r>
    </w:p>
    <w:p w14:paraId="78771D96">
      <w:pPr>
        <w:spacing w:after="24" w:line="245" w:lineRule="auto"/>
        <w:ind w:left="230" w:hanging="173"/>
        <w:rPr>
          <w:rFonts w:hint="default" w:ascii="Cambria" w:hAnsi="Cambria" w:cs="Cambria"/>
          <w:color w:val="262626"/>
          <w:sz w:val="17"/>
        </w:rPr>
      </w:pPr>
    </w:p>
    <w:p w14:paraId="7C9F5D31">
      <w:pPr>
        <w:spacing w:after="24" w:line="245" w:lineRule="auto"/>
        <w:ind w:left="230" w:hanging="173"/>
        <w:rPr>
          <w:rFonts w:hint="default" w:ascii="Cambria" w:hAnsi="Cambria" w:cs="Cambria"/>
          <w:color w:val="262626"/>
          <w:sz w:val="20"/>
          <w:szCs w:val="28"/>
        </w:rPr>
      </w:pPr>
      <w:r>
        <w:rPr>
          <w:rFonts w:hint="default" w:ascii="Cambria" w:hAnsi="Cambria" w:cs="Cambria"/>
          <w:color w:val="262626"/>
          <w:sz w:val="20"/>
          <w:szCs w:val="28"/>
        </w:rPr>
        <w:t>•</w:t>
      </w:r>
      <w:r>
        <w:rPr>
          <w:rFonts w:hint="default" w:ascii="Cambria" w:hAnsi="Cambria" w:cs="Cambria"/>
          <w:color w:val="262626"/>
          <w:sz w:val="20"/>
          <w:szCs w:val="28"/>
          <w:lang w:val="en-MY"/>
        </w:rPr>
        <w:t xml:space="preserve"> Spoken: English, </w:t>
      </w:r>
      <w:r>
        <w:rPr>
          <w:rFonts w:hint="default" w:ascii="Cambria" w:hAnsi="Cambria" w:cs="Cambria"/>
          <w:color w:val="262626"/>
          <w:sz w:val="20"/>
          <w:szCs w:val="28"/>
        </w:rPr>
        <w:t xml:space="preserve">English, Mandarin, Malay, Cantonese and Hokkien; </w:t>
      </w:r>
    </w:p>
    <w:p w14:paraId="4BA6FE5B">
      <w:pPr>
        <w:spacing w:after="24" w:line="245" w:lineRule="auto"/>
        <w:ind w:left="230" w:hanging="173"/>
        <w:rPr>
          <w:rFonts w:hint="default" w:ascii="Cambria" w:hAnsi="Cambria" w:cs="Cambria"/>
          <w:sz w:val="21"/>
          <w:szCs w:val="28"/>
          <w:lang w:val="en-MY"/>
        </w:rPr>
      </w:pPr>
      <w:r>
        <w:rPr>
          <w:rFonts w:hint="default" w:ascii="Cambria" w:hAnsi="Cambria" w:cs="Cambria"/>
          <w:color w:val="262626"/>
          <w:sz w:val="20"/>
          <w:szCs w:val="28"/>
        </w:rPr>
        <w:t>•</w:t>
      </w:r>
      <w:r>
        <w:rPr>
          <w:rFonts w:hint="default" w:ascii="Cambria" w:hAnsi="Cambria" w:cs="Cambria"/>
          <w:color w:val="262626"/>
          <w:sz w:val="20"/>
          <w:szCs w:val="28"/>
          <w:lang w:val="en-MY"/>
        </w:rPr>
        <w:t xml:space="preserve"> </w:t>
      </w:r>
      <w:r>
        <w:rPr>
          <w:rFonts w:hint="default" w:ascii="Cambria" w:hAnsi="Cambria" w:cs="Cambria"/>
          <w:color w:val="262626"/>
          <w:sz w:val="20"/>
          <w:szCs w:val="28"/>
        </w:rPr>
        <w:t>written English, Chinese and Malay.</w:t>
      </w:r>
      <w:r>
        <w:rPr>
          <w:rFonts w:hint="default" w:ascii="Cambria" w:hAnsi="Cambria" w:cs="Cambria"/>
          <w:color w:val="262626"/>
          <w:sz w:val="20"/>
          <w:szCs w:val="28"/>
          <w:lang w:val="en-MY"/>
        </w:rPr>
        <w:t xml:space="preserve"> Team</w:t>
      </w:r>
    </w:p>
    <w:sectPr>
      <w:footerReference r:id="rId5" w:type="default"/>
      <w:pgSz w:w="12240" w:h="15840"/>
      <w:pgMar w:top="648" w:right="864" w:bottom="648" w:left="86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77FCCB">
    <w:pPr>
      <w:pStyle w:val="18"/>
      <w:jc w:val="center"/>
    </w:pPr>
    <w:r>
      <w:rPr>
        <w:color w:val="5A5A5A"/>
        <w:sz w:val="15"/>
      </w:rPr>
      <w:t>Dr KY Yong | Speaker Profile &amp; Executive Medical CV | Updated September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7" w:lineRule="auto"/>
      </w:pPr>
      <w:r>
        <w:separator/>
      </w:r>
    </w:p>
  </w:footnote>
  <w:footnote w:type="continuationSeparator" w:id="1">
    <w:p>
      <w:pPr>
        <w:spacing w:before="0" w:after="0" w:line="247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abstractNum w:abstractNumId="6">
    <w:nsid w:val="59D456EB"/>
    <w:multiLevelType w:val="multilevel"/>
    <w:tmpl w:val="59D456E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1D129C7"/>
    <w:rsid w:val="25BE30F8"/>
    <w:rsid w:val="6EE367FB"/>
    <w:rsid w:val="6EF2186E"/>
    <w:rsid w:val="7AA94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qFormat="1"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60" w:line="247" w:lineRule="auto"/>
    </w:pPr>
    <w:rPr>
      <w:rFonts w:ascii="Aptos" w:hAnsi="Aptos" w:eastAsiaTheme="minorEastAsia" w:cstheme="minorBidi"/>
      <w:color w:val="262626"/>
      <w:sz w:val="19"/>
      <w:szCs w:val="22"/>
      <w:lang w:val="en-US" w:eastAsia="en-US" w:bidi="ar-SA"/>
    </w:rPr>
  </w:style>
  <w:style w:type="paragraph" w:styleId="2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5"/>
    <w:unhideWhenUsed/>
    <w:qFormat/>
    <w:uiPriority w:val="99"/>
    <w:pPr>
      <w:spacing w:after="120"/>
    </w:pPr>
  </w:style>
  <w:style w:type="paragraph" w:styleId="14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15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uiPriority w:val="99"/>
    <w:pPr>
      <w:ind w:left="360" w:hanging="360"/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8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33">
    <w:name w:val="Normal (Web)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styleId="34">
    <w:name w:val="Strong"/>
    <w:basedOn w:val="11"/>
    <w:qFormat/>
    <w:uiPriority w:val="22"/>
    <w:rPr>
      <w:b/>
      <w:bCs/>
    </w:rPr>
  </w:style>
  <w:style w:type="paragraph" w:styleId="35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6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7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8">
    <w:name w:val="Light Shading"/>
    <w:basedOn w:val="1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9">
    <w:name w:val="Light Shading Accent 1"/>
    <w:basedOn w:val="1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40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1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2">
    <w:name w:val="Light Shading Accent 4"/>
    <w:basedOn w:val="1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3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4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5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6">
    <w:name w:val="Light List Accent 1"/>
    <w:basedOn w:val="1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7">
    <w:name w:val="Light List Accent 2"/>
    <w:basedOn w:val="1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8">
    <w:name w:val="Light List Accent 3"/>
    <w:basedOn w:val="1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9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50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1">
    <w:name w:val="Light List Accent 6"/>
    <w:basedOn w:val="1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2">
    <w:name w:val="Light Grid"/>
    <w:basedOn w:val="1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3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4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5">
    <w:name w:val="Light Grid Accent 3"/>
    <w:basedOn w:val="1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6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7">
    <w:name w:val="Light Grid Accent 5"/>
    <w:basedOn w:val="1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8">
    <w:name w:val="Light Grid Accent 6"/>
    <w:basedOn w:val="1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9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2"/>
    <w:basedOn w:val="1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4"/>
    <w:basedOn w:val="1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6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3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4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5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6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7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8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9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80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5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7">
    <w:name w:val="Medium Grid 1"/>
    <w:basedOn w:val="1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8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9">
    <w:name w:val="Medium Grid 1 Accent 2"/>
    <w:basedOn w:val="1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90">
    <w:name w:val="Medium Grid 1 Accent 3"/>
    <w:basedOn w:val="1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1">
    <w:name w:val="Medium Grid 1 Accent 4"/>
    <w:basedOn w:val="1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2">
    <w:name w:val="Medium Grid 1 Accent 5"/>
    <w:basedOn w:val="1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3">
    <w:name w:val="Medium Grid 1 Accent 6"/>
    <w:basedOn w:val="1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4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1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3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1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2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3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4">
    <w:name w:val="Medium Grid 3 Accent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5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6">
    <w:name w:val="Medium Grid 3 Accent 5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7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8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9">
    <w:name w:val="Dark List Accent 1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10">
    <w:name w:val="Dark List Accent 2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1">
    <w:name w:val="Dark List Accent 3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2">
    <w:name w:val="Dark List Accent 4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3">
    <w:name w:val="Dark List Accent 5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4">
    <w:name w:val="Dark List Accent 6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5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1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2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3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9">
    <w:name w:val="Colorful Shading Accent 4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5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Shading Accent 6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2">
    <w:name w:val="Colorful List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3">
    <w:name w:val="Colorful List Accent 1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4">
    <w:name w:val="Colorful List Accent 2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5">
    <w:name w:val="Colorful List Accent 3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6">
    <w:name w:val="Colorful List Accent 4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7">
    <w:name w:val="Colorful List Accent 5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8">
    <w:name w:val="Colorful List Accent 6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9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30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1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3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4">
    <w:name w:val="Colorful Grid Accent 5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5">
    <w:name w:val="Colorful Grid Accent 6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6">
    <w:name w:val="Header Char"/>
    <w:basedOn w:val="11"/>
    <w:link w:val="19"/>
    <w:qFormat/>
    <w:uiPriority w:val="99"/>
  </w:style>
  <w:style w:type="character" w:customStyle="1" w:styleId="137">
    <w:name w:val="Footer Char"/>
    <w:basedOn w:val="11"/>
    <w:link w:val="18"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1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1"/>
    <w:link w:val="3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1"/>
    <w:link w:val="37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1"/>
    <w:link w:val="35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1"/>
    <w:link w:val="13"/>
    <w:uiPriority w:val="99"/>
  </w:style>
  <w:style w:type="character" w:customStyle="1" w:styleId="146">
    <w:name w:val="Body Text 2 Char"/>
    <w:basedOn w:val="11"/>
    <w:link w:val="14"/>
    <w:qFormat/>
    <w:uiPriority w:val="99"/>
  </w:style>
  <w:style w:type="character" w:customStyle="1" w:styleId="147">
    <w:name w:val="Body Text 3 Char"/>
    <w:basedOn w:val="11"/>
    <w:link w:val="15"/>
    <w:qFormat/>
    <w:uiPriority w:val="99"/>
    <w:rPr>
      <w:sz w:val="16"/>
      <w:szCs w:val="16"/>
    </w:rPr>
  </w:style>
  <w:style w:type="character" w:customStyle="1" w:styleId="148">
    <w:name w:val="Macro Text Char"/>
    <w:basedOn w:val="11"/>
    <w:link w:val="3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1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2"/>
    <w:next w:val="1"/>
    <w:semiHidden/>
    <w:unhideWhenUsed/>
    <w:qFormat/>
    <w:uiPriority w:val="39"/>
    <w:pPr>
      <w:outlineLvl w:val="9"/>
    </w:pPr>
  </w:style>
  <w:style w:type="paragraph" w:customStyle="1" w:styleId="165">
    <w:name w:val="Title KY"/>
    <w:qFormat/>
    <w:uiPriority w:val="0"/>
    <w:pPr>
      <w:spacing w:before="40" w:after="60" w:line="276" w:lineRule="auto"/>
    </w:pPr>
    <w:rPr>
      <w:rFonts w:ascii="Aptos" w:hAnsi="Aptos" w:eastAsiaTheme="minorEastAsia" w:cstheme="minorBidi"/>
      <w:b/>
      <w:color w:val="192D42"/>
      <w:sz w:val="44"/>
      <w:szCs w:val="22"/>
      <w:lang w:val="en-US" w:eastAsia="en-US" w:bidi="ar-SA"/>
    </w:rPr>
  </w:style>
  <w:style w:type="paragraph" w:customStyle="1" w:styleId="166">
    <w:name w:val="Subtitle KY"/>
    <w:qFormat/>
    <w:uiPriority w:val="0"/>
    <w:pPr>
      <w:spacing w:before="40" w:after="60" w:line="276" w:lineRule="auto"/>
    </w:pPr>
    <w:rPr>
      <w:rFonts w:ascii="Aptos" w:hAnsi="Aptos" w:eastAsiaTheme="minorEastAsia" w:cstheme="minorBidi"/>
      <w:b/>
      <w:color w:val="2B5D84"/>
      <w:sz w:val="21"/>
      <w:szCs w:val="22"/>
      <w:lang w:val="en-US" w:eastAsia="en-US" w:bidi="ar-SA"/>
    </w:rPr>
  </w:style>
  <w:style w:type="paragraph" w:customStyle="1" w:styleId="167">
    <w:name w:val="Section KY"/>
    <w:qFormat/>
    <w:uiPriority w:val="0"/>
    <w:pPr>
      <w:spacing w:before="40" w:after="60" w:line="276" w:lineRule="auto"/>
    </w:pPr>
    <w:rPr>
      <w:rFonts w:ascii="Aptos" w:hAnsi="Aptos" w:eastAsiaTheme="minorEastAsia" w:cstheme="minorBidi"/>
      <w:b/>
      <w:color w:val="192D42"/>
      <w:sz w:val="22"/>
      <w:szCs w:val="22"/>
      <w:lang w:val="en-US" w:eastAsia="en-US" w:bidi="ar-SA"/>
    </w:rPr>
  </w:style>
  <w:style w:type="paragraph" w:customStyle="1" w:styleId="168">
    <w:name w:val="Small KY"/>
    <w:qFormat/>
    <w:uiPriority w:val="0"/>
    <w:pPr>
      <w:spacing w:before="40" w:after="60" w:line="276" w:lineRule="auto"/>
    </w:pPr>
    <w:rPr>
      <w:rFonts w:ascii="Aptos" w:hAnsi="Aptos" w:eastAsiaTheme="minorEastAsia" w:cstheme="minorBidi"/>
      <w:color w:val="5A5A5A"/>
      <w:sz w:val="17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880</Words>
  <Characters>6045</Characters>
  <Lines>0</Lines>
  <Paragraphs>0</Paragraphs>
  <TotalTime>9</TotalTime>
  <ScaleCrop>false</ScaleCrop>
  <LinksUpToDate>false</LinksUpToDate>
  <CharactersWithSpaces>6872</CharactersWithSpaces>
  <Application>WPS Office_12.1.0.26886_F1E327BC-269C-435d-A152-05C5408002CA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Kuan Yew Yong</cp:lastModifiedBy>
  <dcterms:modified xsi:type="dcterms:W3CDTF">2026-09-14T04:27:07Z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eyJoZGlkIjoiNWRiN2EzOTIwNTFkMWRjYjlhM2M2MjEwMTAzOTAyMTAiLCJ1c2VySWQiOiI4Nzk2MTA2MzA4MDU0In0=</vt:lpwstr>
  </property>
  <property fmtid="{D5CDD505-2E9C-101B-9397-08002B2CF9AE}" pid="3" name="KSOProductBuildVer">
    <vt:lpwstr>1033-12.1.0.26886</vt:lpwstr>
  </property>
  <property fmtid="{D5CDD505-2E9C-101B-9397-08002B2CF9AE}" pid="4" name="ICV">
    <vt:lpwstr>B703CC41C6144786966EA85A2BDC0B2E_13</vt:lpwstr>
  </property>
</Properties>
</file>